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1FBAD" w14:textId="678BB40E" w:rsidR="00C54BE7" w:rsidRPr="00454D28" w:rsidRDefault="00C54BE7">
      <w:pPr>
        <w:rPr>
          <w:rFonts w:ascii="Cabin" w:hAnsi="Cabin"/>
          <w:b/>
          <w:bCs/>
          <w:sz w:val="36"/>
          <w:szCs w:val="36"/>
        </w:rPr>
      </w:pPr>
      <w:r w:rsidRPr="00454D28">
        <w:rPr>
          <w:rFonts w:ascii="Cabin" w:hAnsi="Cabin"/>
          <w:b/>
          <w:bCs/>
          <w:sz w:val="36"/>
          <w:szCs w:val="36"/>
        </w:rPr>
        <w:t>Example: Self-assessment against the requirements of the Code</w:t>
      </w:r>
    </w:p>
    <w:p w14:paraId="52A9659A" w14:textId="77777777" w:rsidR="00C54BE7" w:rsidRDefault="00C54BE7">
      <w:pPr>
        <w:rPr>
          <w:rFonts w:ascii="Cabin" w:hAnsi="Cabin"/>
          <w:b/>
          <w:bCs/>
          <w:sz w:val="28"/>
          <w:szCs w:val="28"/>
        </w:rPr>
      </w:pPr>
    </w:p>
    <w:tbl>
      <w:tblPr>
        <w:tblStyle w:val="TableGrid"/>
        <w:tblW w:w="14454" w:type="dxa"/>
        <w:tblLayout w:type="fixed"/>
        <w:tblLook w:val="04A0" w:firstRow="1" w:lastRow="0" w:firstColumn="1" w:lastColumn="0" w:noHBand="0" w:noVBand="1"/>
      </w:tblPr>
      <w:tblGrid>
        <w:gridCol w:w="2689"/>
        <w:gridCol w:w="3827"/>
        <w:gridCol w:w="3118"/>
        <w:gridCol w:w="4820"/>
      </w:tblGrid>
      <w:tr w:rsidR="00C54BE7" w:rsidRPr="00647DE6" w14:paraId="58ABB8C7" w14:textId="77777777" w:rsidTr="00A95032">
        <w:trPr>
          <w:cantSplit/>
          <w:tblHeader/>
        </w:trPr>
        <w:tc>
          <w:tcPr>
            <w:tcW w:w="2689" w:type="dxa"/>
            <w:shd w:val="clear" w:color="auto" w:fill="auto"/>
          </w:tcPr>
          <w:p w14:paraId="21966EA1" w14:textId="77777777" w:rsidR="00C54BE7" w:rsidRPr="00A95032" w:rsidRDefault="00C54BE7" w:rsidP="00335335">
            <w:pPr>
              <w:spacing w:after="160" w:line="259" w:lineRule="auto"/>
              <w:rPr>
                <w:rFonts w:ascii="Cabin" w:eastAsia="Arial" w:hAnsi="Cabin"/>
                <w:b/>
                <w:bCs/>
                <w:sz w:val="28"/>
                <w:szCs w:val="28"/>
              </w:rPr>
            </w:pPr>
            <w:r w:rsidRPr="00A95032">
              <w:rPr>
                <w:rFonts w:ascii="Cabin" w:eastAsia="Arial" w:hAnsi="Cabin"/>
                <w:b/>
                <w:bCs/>
                <w:sz w:val="28"/>
                <w:szCs w:val="28"/>
              </w:rPr>
              <w:t xml:space="preserve">Code section </w:t>
            </w:r>
          </w:p>
        </w:tc>
        <w:tc>
          <w:tcPr>
            <w:tcW w:w="3827" w:type="dxa"/>
            <w:shd w:val="clear" w:color="auto" w:fill="auto"/>
          </w:tcPr>
          <w:p w14:paraId="231EDF05" w14:textId="77777777" w:rsidR="00C54BE7" w:rsidRPr="00A95032" w:rsidRDefault="00C54BE7" w:rsidP="00335335">
            <w:pPr>
              <w:spacing w:after="160" w:line="259" w:lineRule="auto"/>
              <w:rPr>
                <w:rFonts w:ascii="Cabin" w:eastAsia="Arial" w:hAnsi="Cabin"/>
                <w:b/>
                <w:bCs/>
                <w:sz w:val="28"/>
                <w:szCs w:val="28"/>
              </w:rPr>
            </w:pPr>
            <w:r w:rsidRPr="00A95032">
              <w:rPr>
                <w:rFonts w:ascii="Cabin" w:hAnsi="Cabin"/>
                <w:b/>
                <w:bCs/>
                <w:sz w:val="28"/>
                <w:szCs w:val="28"/>
              </w:rPr>
              <w:t xml:space="preserve">Action </w:t>
            </w:r>
          </w:p>
        </w:tc>
        <w:tc>
          <w:tcPr>
            <w:tcW w:w="3118" w:type="dxa"/>
            <w:shd w:val="clear" w:color="auto" w:fill="auto"/>
          </w:tcPr>
          <w:p w14:paraId="725E960F" w14:textId="77777777" w:rsidR="00C54BE7" w:rsidRPr="00A95032" w:rsidRDefault="00C54BE7" w:rsidP="00335335">
            <w:pPr>
              <w:spacing w:after="160" w:line="259" w:lineRule="auto"/>
              <w:rPr>
                <w:rFonts w:ascii="Cabin" w:eastAsia="Arial" w:hAnsi="Cabin"/>
                <w:b/>
                <w:bCs/>
                <w:sz w:val="28"/>
                <w:szCs w:val="28"/>
              </w:rPr>
            </w:pPr>
            <w:r w:rsidRPr="00A95032">
              <w:rPr>
                <w:rFonts w:ascii="Cabin" w:hAnsi="Cabin"/>
                <w:b/>
                <w:bCs/>
                <w:sz w:val="28"/>
                <w:szCs w:val="28"/>
              </w:rPr>
              <w:t>Do we follow the Code</w:t>
            </w:r>
            <w:r w:rsidRPr="00A95032">
              <w:rPr>
                <w:rFonts w:ascii="Cabin" w:eastAsia="Arial" w:hAnsi="Cabin"/>
                <w:b/>
                <w:bCs/>
                <w:sz w:val="28"/>
                <w:szCs w:val="28"/>
              </w:rPr>
              <w:t>:</w:t>
            </w:r>
          </w:p>
          <w:p w14:paraId="31AFB616" w14:textId="77777777" w:rsidR="00C54BE7" w:rsidRPr="00A95032" w:rsidRDefault="00C54BE7" w:rsidP="00335335">
            <w:pPr>
              <w:spacing w:after="160" w:line="259" w:lineRule="auto"/>
              <w:rPr>
                <w:rFonts w:ascii="Cabin" w:eastAsia="Arial" w:hAnsi="Cabin"/>
                <w:b/>
                <w:bCs/>
                <w:sz w:val="28"/>
                <w:szCs w:val="28"/>
              </w:rPr>
            </w:pPr>
            <w:r w:rsidRPr="00A95032">
              <w:rPr>
                <w:rFonts w:ascii="Cabin" w:eastAsia="Arial" w:hAnsi="Cabin"/>
                <w:b/>
                <w:bCs/>
                <w:sz w:val="28"/>
                <w:szCs w:val="28"/>
              </w:rPr>
              <w:t xml:space="preserve">Yes/No </w:t>
            </w:r>
          </w:p>
        </w:tc>
        <w:tc>
          <w:tcPr>
            <w:tcW w:w="4820" w:type="dxa"/>
          </w:tcPr>
          <w:p w14:paraId="3CE92E8D" w14:textId="77777777" w:rsidR="00C54BE7" w:rsidRPr="00A95032" w:rsidRDefault="00C54BE7" w:rsidP="00335335">
            <w:pPr>
              <w:spacing w:after="160" w:line="259" w:lineRule="auto"/>
              <w:rPr>
                <w:rFonts w:ascii="Cabin" w:eastAsia="Arial" w:hAnsi="Cabin"/>
                <w:b/>
                <w:bCs/>
                <w:sz w:val="28"/>
                <w:szCs w:val="28"/>
              </w:rPr>
            </w:pPr>
            <w:r w:rsidRPr="00A95032">
              <w:rPr>
                <w:rFonts w:ascii="Cabin" w:eastAsia="Arial" w:hAnsi="Cabin"/>
                <w:b/>
                <w:bCs/>
                <w:sz w:val="28"/>
                <w:szCs w:val="28"/>
              </w:rPr>
              <w:t>Explanations and Commentary</w:t>
            </w:r>
          </w:p>
        </w:tc>
      </w:tr>
      <w:tr w:rsidR="00C54BE7" w:rsidRPr="00647DE6" w14:paraId="145E6C0E" w14:textId="77777777" w:rsidTr="00A95032">
        <w:trPr>
          <w:cantSplit/>
          <w:trHeight w:val="1104"/>
        </w:trPr>
        <w:tc>
          <w:tcPr>
            <w:tcW w:w="2689" w:type="dxa"/>
            <w:shd w:val="clear" w:color="auto" w:fill="auto"/>
          </w:tcPr>
          <w:p w14:paraId="4EDC972A" w14:textId="77777777" w:rsidR="00C54BE7" w:rsidRPr="00C54BE7" w:rsidRDefault="00C54BE7" w:rsidP="00335335">
            <w:pPr>
              <w:spacing w:after="160" w:line="259" w:lineRule="auto"/>
              <w:rPr>
                <w:rFonts w:ascii="Cabin" w:eastAsia="Arial" w:hAnsi="Cabin"/>
                <w:b/>
                <w:bCs/>
                <w:sz w:val="24"/>
                <w:szCs w:val="24"/>
              </w:rPr>
            </w:pPr>
            <w:r w:rsidRPr="00C54BE7">
              <w:rPr>
                <w:rFonts w:ascii="Cabin" w:hAnsi="Cabin"/>
                <w:b/>
                <w:bCs/>
                <w:sz w:val="24"/>
                <w:szCs w:val="24"/>
              </w:rPr>
              <w:t>1: Definition of a service request and complaint</w:t>
            </w:r>
          </w:p>
        </w:tc>
        <w:tc>
          <w:tcPr>
            <w:tcW w:w="3827" w:type="dxa"/>
            <w:shd w:val="clear" w:color="auto" w:fill="auto"/>
          </w:tcPr>
          <w:p w14:paraId="7F9FFD2C" w14:textId="00F3405E" w:rsidR="00C54BE7" w:rsidRPr="00C54BE7" w:rsidRDefault="00C54BE7" w:rsidP="00335335">
            <w:pPr>
              <w:spacing w:after="160" w:line="259" w:lineRule="auto"/>
              <w:rPr>
                <w:rFonts w:ascii="Cabin" w:hAnsi="Cabin"/>
              </w:rPr>
            </w:pPr>
            <w:r w:rsidRPr="00C54BE7">
              <w:rPr>
                <w:rFonts w:ascii="Cabin" w:hAnsi="Cabin"/>
              </w:rPr>
              <w:t>We recognise the difference between a service request and a complaint</w:t>
            </w:r>
            <w:r w:rsidR="00A95032">
              <w:rPr>
                <w:rFonts w:ascii="Cabin" w:hAnsi="Cabin"/>
              </w:rPr>
              <w:t>,</w:t>
            </w:r>
            <w:r w:rsidRPr="00C54BE7">
              <w:rPr>
                <w:rFonts w:ascii="Cabin" w:hAnsi="Cabin"/>
              </w:rPr>
              <w:t xml:space="preserve"> and these are defined in our policies and procedures.</w:t>
            </w:r>
          </w:p>
        </w:tc>
        <w:tc>
          <w:tcPr>
            <w:tcW w:w="3118" w:type="dxa"/>
            <w:shd w:val="clear" w:color="auto" w:fill="auto"/>
          </w:tcPr>
          <w:p w14:paraId="37C075CC" w14:textId="074F5A0C" w:rsidR="00C54BE7" w:rsidRPr="0075709A" w:rsidRDefault="0075709A" w:rsidP="0075709A">
            <w:pPr>
              <w:spacing w:after="160" w:line="259" w:lineRule="auto"/>
              <w:jc w:val="center"/>
              <w:rPr>
                <w:rFonts w:eastAsia="Arial"/>
                <w:b/>
                <w:bCs/>
              </w:rPr>
            </w:pPr>
            <w:r w:rsidRPr="0075709A">
              <w:rPr>
                <w:rFonts w:eastAsia="Arial"/>
                <w:b/>
                <w:bCs/>
              </w:rPr>
              <w:t>Yes</w:t>
            </w:r>
          </w:p>
        </w:tc>
        <w:tc>
          <w:tcPr>
            <w:tcW w:w="4820" w:type="dxa"/>
          </w:tcPr>
          <w:p w14:paraId="6D73F3D7" w14:textId="0161B777" w:rsidR="00C54BE7" w:rsidRPr="00F4198D" w:rsidRDefault="00BD7BB3" w:rsidP="00335335">
            <w:pPr>
              <w:spacing w:after="160" w:line="259" w:lineRule="auto"/>
              <w:rPr>
                <w:rFonts w:ascii="Arial" w:eastAsia="Arial" w:hAnsi="Arial" w:cs="Arial"/>
              </w:rPr>
            </w:pPr>
            <w:r w:rsidRPr="00BD7BB3">
              <w:rPr>
                <w:rFonts w:ascii="Arial" w:eastAsia="Arial" w:hAnsi="Arial" w:cs="Arial"/>
              </w:rPr>
              <w:t>Jewish Care recognises the difference between a service request and a complaint. A service request is a request to Jewish Care requiring action to be taken to put something right (for example a repair request). Service requests are not complaints. A complaint must be raised when the client expresses dissatisfaction with the response to their service request, even if the handling of the service request remains ongoing. Jewish Care will not stop addressing the service request if the client complains</w:t>
            </w:r>
            <w:r>
              <w:rPr>
                <w:rFonts w:ascii="Arial" w:eastAsia="Arial" w:hAnsi="Arial" w:cs="Arial"/>
              </w:rPr>
              <w:t>.</w:t>
            </w:r>
          </w:p>
        </w:tc>
      </w:tr>
      <w:tr w:rsidR="0075709A" w:rsidRPr="00647DE6" w14:paraId="13A058ED" w14:textId="77777777" w:rsidTr="00A95032">
        <w:trPr>
          <w:cantSplit/>
        </w:trPr>
        <w:tc>
          <w:tcPr>
            <w:tcW w:w="2689" w:type="dxa"/>
            <w:shd w:val="clear" w:color="auto" w:fill="auto"/>
          </w:tcPr>
          <w:p w14:paraId="05640CC3" w14:textId="77777777" w:rsidR="0075709A" w:rsidRPr="00C54BE7" w:rsidRDefault="0075709A" w:rsidP="0075709A">
            <w:pPr>
              <w:spacing w:after="160" w:line="259" w:lineRule="auto"/>
              <w:rPr>
                <w:rFonts w:ascii="Cabin" w:eastAsia="Arial" w:hAnsi="Cabin"/>
                <w:b/>
                <w:bCs/>
                <w:sz w:val="24"/>
                <w:szCs w:val="24"/>
              </w:rPr>
            </w:pPr>
            <w:r w:rsidRPr="00C54BE7">
              <w:rPr>
                <w:rFonts w:ascii="Cabin" w:eastAsia="Arial" w:hAnsi="Cabin"/>
                <w:b/>
                <w:bCs/>
                <w:sz w:val="24"/>
                <w:szCs w:val="24"/>
              </w:rPr>
              <w:lastRenderedPageBreak/>
              <w:t>2</w:t>
            </w:r>
            <w:r w:rsidRPr="00C54BE7">
              <w:rPr>
                <w:rFonts w:ascii="Cabin" w:hAnsi="Cabin"/>
                <w:b/>
                <w:bCs/>
                <w:sz w:val="24"/>
                <w:szCs w:val="24"/>
              </w:rPr>
              <w:t>: Exclusions</w:t>
            </w:r>
          </w:p>
        </w:tc>
        <w:tc>
          <w:tcPr>
            <w:tcW w:w="3827" w:type="dxa"/>
            <w:shd w:val="clear" w:color="auto" w:fill="auto"/>
          </w:tcPr>
          <w:p w14:paraId="6A4A46BD" w14:textId="77777777" w:rsidR="0075709A" w:rsidRPr="00C54BE7" w:rsidRDefault="0075709A" w:rsidP="0075709A">
            <w:pPr>
              <w:spacing w:after="160" w:line="259" w:lineRule="auto"/>
              <w:rPr>
                <w:rFonts w:ascii="Cabin" w:hAnsi="Cabin"/>
              </w:rPr>
            </w:pPr>
            <w:r w:rsidRPr="00C54BE7">
              <w:rPr>
                <w:rFonts w:ascii="Cabin" w:hAnsi="Cabin"/>
              </w:rPr>
              <w:t xml:space="preserve">Our complaints policy sets out circumstances where we would not consider a complaint. These are reasonable and do not deny individuals access to redress. </w:t>
            </w:r>
          </w:p>
        </w:tc>
        <w:tc>
          <w:tcPr>
            <w:tcW w:w="3118" w:type="dxa"/>
            <w:shd w:val="clear" w:color="auto" w:fill="auto"/>
          </w:tcPr>
          <w:p w14:paraId="3E88BFD0" w14:textId="5B2462D3" w:rsidR="0075709A" w:rsidRPr="0075709A" w:rsidRDefault="0075709A" w:rsidP="0075709A">
            <w:pPr>
              <w:spacing w:after="160" w:line="259" w:lineRule="auto"/>
              <w:jc w:val="center"/>
              <w:rPr>
                <w:rFonts w:eastAsia="Arial"/>
                <w:b/>
                <w:bCs/>
              </w:rPr>
            </w:pPr>
            <w:r w:rsidRPr="0075709A">
              <w:rPr>
                <w:rFonts w:eastAsia="Arial"/>
                <w:b/>
                <w:bCs/>
              </w:rPr>
              <w:t>Yes</w:t>
            </w:r>
          </w:p>
        </w:tc>
        <w:tc>
          <w:tcPr>
            <w:tcW w:w="4820" w:type="dxa"/>
          </w:tcPr>
          <w:p w14:paraId="1F3371C5" w14:textId="2405D448" w:rsidR="0075709A" w:rsidRPr="00F4198D" w:rsidRDefault="002C6DBD" w:rsidP="0075709A">
            <w:pPr>
              <w:spacing w:after="160" w:line="259" w:lineRule="auto"/>
              <w:rPr>
                <w:rFonts w:ascii="Arial" w:eastAsia="Arial" w:hAnsi="Arial" w:cs="Arial"/>
              </w:rPr>
            </w:pPr>
            <w:r w:rsidRPr="002C6DBD">
              <w:rPr>
                <w:rFonts w:ascii="Arial" w:eastAsia="Arial" w:hAnsi="Arial" w:cs="Arial"/>
              </w:rPr>
              <w:t xml:space="preserve">Jewish Care accepts all complaints unless there is a valid reason not to do so, for example the case became a legal proceeding or a police investigation. Jewish Care accepts complaints within 12 months of the issue occurring or the </w:t>
            </w:r>
            <w:r w:rsidR="008D059F">
              <w:rPr>
                <w:rFonts w:ascii="Arial" w:eastAsia="Arial" w:hAnsi="Arial" w:cs="Arial"/>
              </w:rPr>
              <w:t>client</w:t>
            </w:r>
            <w:r w:rsidRPr="002C6DBD">
              <w:rPr>
                <w:rFonts w:ascii="Arial" w:eastAsia="Arial" w:hAnsi="Arial" w:cs="Arial"/>
              </w:rPr>
              <w:t xml:space="preserve"> becoming aware of the issue. However, each complaint will be considered on its own merits. If Jewish Care decides not to accept a complaint, an explanation </w:t>
            </w:r>
            <w:r w:rsidR="00405CBE">
              <w:rPr>
                <w:rFonts w:ascii="Arial" w:eastAsia="Arial" w:hAnsi="Arial" w:cs="Arial"/>
              </w:rPr>
              <w:t>is</w:t>
            </w:r>
            <w:r w:rsidRPr="002C6DBD">
              <w:rPr>
                <w:rFonts w:ascii="Arial" w:eastAsia="Arial" w:hAnsi="Arial" w:cs="Arial"/>
              </w:rPr>
              <w:t xml:space="preserve"> provided to the complainant, setting out the reasons why the matter is not suitable for the complaints process and the right to take that decision to the Ombudsman.</w:t>
            </w:r>
          </w:p>
        </w:tc>
      </w:tr>
      <w:tr w:rsidR="0075709A" w:rsidRPr="00647DE6" w14:paraId="51744D4B" w14:textId="77777777" w:rsidTr="00A95032">
        <w:trPr>
          <w:cantSplit/>
        </w:trPr>
        <w:tc>
          <w:tcPr>
            <w:tcW w:w="2689" w:type="dxa"/>
            <w:shd w:val="clear" w:color="auto" w:fill="auto"/>
          </w:tcPr>
          <w:p w14:paraId="43D8E6E6" w14:textId="3A20CC57" w:rsidR="0075709A" w:rsidRPr="00C54BE7" w:rsidRDefault="0075709A" w:rsidP="0075709A">
            <w:pPr>
              <w:rPr>
                <w:rFonts w:ascii="Cabin" w:eastAsia="Arial" w:hAnsi="Cabin"/>
                <w:b/>
                <w:bCs/>
                <w:sz w:val="24"/>
                <w:szCs w:val="24"/>
              </w:rPr>
            </w:pPr>
            <w:r w:rsidRPr="00C54BE7">
              <w:rPr>
                <w:rFonts w:ascii="Cabin" w:eastAsia="Arial" w:hAnsi="Cabin"/>
                <w:b/>
                <w:bCs/>
                <w:sz w:val="24"/>
                <w:szCs w:val="24"/>
              </w:rPr>
              <w:t>3: Accessibility and awareness</w:t>
            </w:r>
          </w:p>
        </w:tc>
        <w:tc>
          <w:tcPr>
            <w:tcW w:w="3827" w:type="dxa"/>
            <w:shd w:val="clear" w:color="auto" w:fill="auto"/>
          </w:tcPr>
          <w:p w14:paraId="731ECC82" w14:textId="6E63AD10" w:rsidR="0075709A" w:rsidRPr="00C54BE7" w:rsidRDefault="0075709A" w:rsidP="0075709A">
            <w:pPr>
              <w:rPr>
                <w:rFonts w:ascii="Cabin" w:hAnsi="Cabin"/>
              </w:rPr>
            </w:pPr>
            <w:r w:rsidRPr="00C54BE7">
              <w:rPr>
                <w:rFonts w:ascii="Cabin" w:hAnsi="Cabin"/>
              </w:rPr>
              <w:t xml:space="preserve">We provide different channels through which individuals can make complaints. These are accessible and we </w:t>
            </w:r>
            <w:r>
              <w:rPr>
                <w:rFonts w:ascii="Cabin" w:hAnsi="Cabin"/>
              </w:rPr>
              <w:t>can</w:t>
            </w:r>
            <w:r w:rsidRPr="00C54BE7">
              <w:rPr>
                <w:rFonts w:ascii="Cabin" w:hAnsi="Cabin"/>
              </w:rPr>
              <w:t xml:space="preserve"> make reasonable adjustments where necessary</w:t>
            </w:r>
          </w:p>
        </w:tc>
        <w:tc>
          <w:tcPr>
            <w:tcW w:w="3118" w:type="dxa"/>
            <w:shd w:val="clear" w:color="auto" w:fill="auto"/>
          </w:tcPr>
          <w:p w14:paraId="7F9897F3" w14:textId="1DF01AA9" w:rsidR="0075709A" w:rsidRPr="0075709A" w:rsidRDefault="0075709A" w:rsidP="0075709A">
            <w:pPr>
              <w:jc w:val="center"/>
              <w:rPr>
                <w:rFonts w:eastAsia="Arial"/>
                <w:b/>
                <w:bCs/>
              </w:rPr>
            </w:pPr>
            <w:r w:rsidRPr="0075709A">
              <w:rPr>
                <w:rFonts w:eastAsia="Arial"/>
                <w:b/>
                <w:bCs/>
              </w:rPr>
              <w:t>Yes</w:t>
            </w:r>
          </w:p>
        </w:tc>
        <w:tc>
          <w:tcPr>
            <w:tcW w:w="4820" w:type="dxa"/>
          </w:tcPr>
          <w:p w14:paraId="1C0A47E1" w14:textId="559E6E9B" w:rsidR="0075709A" w:rsidRPr="008533DE" w:rsidRDefault="00DD0A52" w:rsidP="00DD0A52">
            <w:pPr>
              <w:rPr>
                <w:rFonts w:ascii="Arial" w:eastAsia="Arial" w:hAnsi="Arial" w:cs="Arial"/>
                <w:b/>
              </w:rPr>
            </w:pPr>
            <w:r w:rsidRPr="00DD0A52">
              <w:rPr>
                <w:rFonts w:ascii="Arial" w:eastAsia="Arial" w:hAnsi="Arial" w:cs="Arial"/>
              </w:rPr>
              <w:t>Our customers should find it easy to give feedback, even where this is perceived as negative.</w:t>
            </w:r>
            <w:r w:rsidR="00A6764A">
              <w:rPr>
                <w:rFonts w:ascii="Arial" w:eastAsia="Arial" w:hAnsi="Arial" w:cs="Arial"/>
                <w:b/>
              </w:rPr>
              <w:t xml:space="preserve"> </w:t>
            </w:r>
            <w:r w:rsidRPr="00DD0A52">
              <w:rPr>
                <w:rFonts w:ascii="Arial" w:eastAsia="Arial" w:hAnsi="Arial" w:cs="Arial"/>
              </w:rPr>
              <w:t xml:space="preserve">Concerns and complaints can be raised by email, letter or by completing the form </w:t>
            </w:r>
            <w:r w:rsidR="00336904">
              <w:rPr>
                <w:rFonts w:ascii="Arial" w:eastAsia="Arial" w:hAnsi="Arial" w:cs="Arial"/>
              </w:rPr>
              <w:t>titled</w:t>
            </w:r>
            <w:r w:rsidRPr="00DD0A52">
              <w:rPr>
                <w:rFonts w:ascii="Arial" w:eastAsia="Arial" w:hAnsi="Arial" w:cs="Arial"/>
              </w:rPr>
              <w:t xml:space="preserve"> ‘Remember Your View Counts</w:t>
            </w:r>
            <w:proofErr w:type="gramStart"/>
            <w:r w:rsidRPr="00DD0A52">
              <w:rPr>
                <w:rFonts w:ascii="Arial" w:eastAsia="Arial" w:hAnsi="Arial" w:cs="Arial"/>
              </w:rPr>
              <w:t>’.</w:t>
            </w:r>
            <w:proofErr w:type="gramEnd"/>
            <w:r w:rsidRPr="00DD0A52">
              <w:rPr>
                <w:rFonts w:ascii="Arial" w:eastAsia="Arial" w:hAnsi="Arial" w:cs="Arial"/>
              </w:rPr>
              <w:t xml:space="preserve">  People can also use the ‘contact us’ section of the website</w:t>
            </w:r>
            <w:r w:rsidR="00A6764A">
              <w:rPr>
                <w:rFonts w:ascii="Arial" w:eastAsia="Arial" w:hAnsi="Arial" w:cs="Arial"/>
              </w:rPr>
              <w:t xml:space="preserve">. </w:t>
            </w:r>
            <w:r w:rsidRPr="00DD0A52">
              <w:rPr>
                <w:rFonts w:ascii="Arial" w:eastAsia="Arial" w:hAnsi="Arial" w:cs="Arial"/>
              </w:rPr>
              <w:t xml:space="preserve">Complaints can also be made verbally. In this case, a note </w:t>
            </w:r>
            <w:r w:rsidR="00A6764A">
              <w:rPr>
                <w:rFonts w:ascii="Arial" w:eastAsia="Arial" w:hAnsi="Arial" w:cs="Arial"/>
              </w:rPr>
              <w:t>is</w:t>
            </w:r>
            <w:r w:rsidRPr="00DD0A52">
              <w:rPr>
                <w:rFonts w:ascii="Arial" w:eastAsia="Arial" w:hAnsi="Arial" w:cs="Arial"/>
              </w:rPr>
              <w:t xml:space="preserve"> made of the content of the complaint, and a copy sent to the person making the complaint.  This provides an agreed basis for investigation if required</w:t>
            </w:r>
            <w:r w:rsidR="008533DE">
              <w:rPr>
                <w:rFonts w:ascii="Arial" w:eastAsia="Arial" w:hAnsi="Arial" w:cs="Arial"/>
              </w:rPr>
              <w:t xml:space="preserve">. </w:t>
            </w:r>
          </w:p>
        </w:tc>
      </w:tr>
      <w:tr w:rsidR="0075709A" w:rsidRPr="00647DE6" w14:paraId="736D271E" w14:textId="77777777" w:rsidTr="00A95032">
        <w:trPr>
          <w:cantSplit/>
        </w:trPr>
        <w:tc>
          <w:tcPr>
            <w:tcW w:w="2689" w:type="dxa"/>
            <w:shd w:val="clear" w:color="auto" w:fill="auto"/>
          </w:tcPr>
          <w:p w14:paraId="779F99E3" w14:textId="4F6425DC" w:rsidR="0075709A" w:rsidRPr="00C54BE7" w:rsidRDefault="0075709A" w:rsidP="0075709A">
            <w:pPr>
              <w:rPr>
                <w:rFonts w:ascii="Cabin" w:eastAsia="Arial" w:hAnsi="Cabin"/>
                <w:b/>
                <w:bCs/>
                <w:sz w:val="24"/>
                <w:szCs w:val="24"/>
              </w:rPr>
            </w:pPr>
            <w:r w:rsidRPr="00C54BE7">
              <w:rPr>
                <w:rFonts w:ascii="Cabin" w:eastAsia="Arial" w:hAnsi="Cabin"/>
                <w:b/>
                <w:bCs/>
                <w:sz w:val="24"/>
                <w:szCs w:val="24"/>
              </w:rPr>
              <w:lastRenderedPageBreak/>
              <w:t>4: Complaint handling resources</w:t>
            </w:r>
          </w:p>
        </w:tc>
        <w:tc>
          <w:tcPr>
            <w:tcW w:w="3827" w:type="dxa"/>
            <w:shd w:val="clear" w:color="auto" w:fill="auto"/>
          </w:tcPr>
          <w:p w14:paraId="40DF9147" w14:textId="5B5DB3B7" w:rsidR="0075709A" w:rsidRPr="00C54BE7" w:rsidRDefault="0075709A" w:rsidP="0075709A">
            <w:pPr>
              <w:rPr>
                <w:rFonts w:ascii="Cabin" w:hAnsi="Cabin"/>
              </w:rPr>
            </w:pPr>
            <w:r w:rsidRPr="00C54BE7">
              <w:rPr>
                <w:rFonts w:ascii="Cabin" w:hAnsi="Cabin"/>
              </w:rPr>
              <w:t>We have designated, sufficient resource assigned to take responsibility for complaint handling. Complaints are viewed as a core service and resourced accordingly.</w:t>
            </w:r>
          </w:p>
        </w:tc>
        <w:tc>
          <w:tcPr>
            <w:tcW w:w="3118" w:type="dxa"/>
            <w:shd w:val="clear" w:color="auto" w:fill="auto"/>
          </w:tcPr>
          <w:p w14:paraId="5BD5155A" w14:textId="1F3B8F5A" w:rsidR="0075709A" w:rsidRPr="0075709A" w:rsidRDefault="0075709A" w:rsidP="0075709A">
            <w:pPr>
              <w:jc w:val="center"/>
              <w:rPr>
                <w:rFonts w:eastAsia="Arial"/>
                <w:b/>
                <w:bCs/>
              </w:rPr>
            </w:pPr>
            <w:r w:rsidRPr="0075709A">
              <w:rPr>
                <w:rFonts w:eastAsia="Arial"/>
                <w:b/>
                <w:bCs/>
              </w:rPr>
              <w:t>Yes</w:t>
            </w:r>
          </w:p>
        </w:tc>
        <w:tc>
          <w:tcPr>
            <w:tcW w:w="4820" w:type="dxa"/>
          </w:tcPr>
          <w:p w14:paraId="18A0FF41" w14:textId="7FC79D5D" w:rsidR="0075709A" w:rsidRPr="00F4198D" w:rsidRDefault="00976F93" w:rsidP="0075709A">
            <w:pPr>
              <w:rPr>
                <w:rFonts w:ascii="Arial" w:eastAsia="Arial" w:hAnsi="Arial" w:cs="Arial"/>
              </w:rPr>
            </w:pPr>
            <w:r>
              <w:rPr>
                <w:rFonts w:ascii="Arial" w:eastAsia="Arial" w:hAnsi="Arial" w:cs="Arial"/>
              </w:rPr>
              <w:t>We have a designated team (Customer Experience Team) that manages the handling of complaints</w:t>
            </w:r>
            <w:r w:rsidR="00F1709D">
              <w:rPr>
                <w:rFonts w:ascii="Arial" w:eastAsia="Arial" w:hAnsi="Arial" w:cs="Arial"/>
              </w:rPr>
              <w:t>, monitors learning</w:t>
            </w:r>
            <w:r w:rsidR="00F34284">
              <w:rPr>
                <w:rFonts w:ascii="Arial" w:eastAsia="Arial" w:hAnsi="Arial" w:cs="Arial"/>
              </w:rPr>
              <w:t xml:space="preserve"> and service improvement plans</w:t>
            </w:r>
            <w:r>
              <w:rPr>
                <w:rFonts w:ascii="Arial" w:eastAsia="Arial" w:hAnsi="Arial" w:cs="Arial"/>
              </w:rPr>
              <w:t xml:space="preserve">. </w:t>
            </w:r>
            <w:r w:rsidR="0037172C">
              <w:rPr>
                <w:rFonts w:ascii="Arial" w:eastAsia="Arial" w:hAnsi="Arial" w:cs="Arial"/>
              </w:rPr>
              <w:t xml:space="preserve">The team can be reached on </w:t>
            </w:r>
            <w:hyperlink r:id="rId10" w:history="1">
              <w:r w:rsidR="0037172C" w:rsidRPr="00C97E2E">
                <w:rPr>
                  <w:rStyle w:val="Hyperlink"/>
                  <w:rFonts w:ascii="Arial" w:eastAsia="Arial" w:hAnsi="Arial" w:cs="Arial"/>
                </w:rPr>
                <w:t>customerexperience@jcare.org</w:t>
              </w:r>
            </w:hyperlink>
            <w:r w:rsidR="0037172C">
              <w:rPr>
                <w:rFonts w:ascii="Arial" w:eastAsia="Arial" w:hAnsi="Arial" w:cs="Arial"/>
              </w:rPr>
              <w:t xml:space="preserve"> or via 0203922 2324. </w:t>
            </w:r>
          </w:p>
        </w:tc>
      </w:tr>
      <w:tr w:rsidR="0075709A" w:rsidRPr="00F4198D" w14:paraId="57C91311" w14:textId="77777777" w:rsidTr="00A95032">
        <w:trPr>
          <w:cantSplit/>
        </w:trPr>
        <w:tc>
          <w:tcPr>
            <w:tcW w:w="2689" w:type="dxa"/>
            <w:shd w:val="clear" w:color="auto" w:fill="auto"/>
          </w:tcPr>
          <w:p w14:paraId="6E9AFEF6" w14:textId="5D24557D" w:rsidR="0075709A" w:rsidRPr="00C54BE7" w:rsidRDefault="0075709A" w:rsidP="0075709A">
            <w:pPr>
              <w:rPr>
                <w:rFonts w:ascii="Cabin" w:eastAsia="Arial" w:hAnsi="Cabin"/>
                <w:b/>
                <w:bCs/>
                <w:sz w:val="24"/>
                <w:szCs w:val="24"/>
              </w:rPr>
            </w:pPr>
            <w:r w:rsidRPr="00C54BE7">
              <w:rPr>
                <w:rFonts w:ascii="Cabin" w:eastAsia="Arial" w:hAnsi="Cabin"/>
                <w:b/>
                <w:bCs/>
                <w:sz w:val="24"/>
                <w:szCs w:val="24"/>
              </w:rPr>
              <w:t>5: The complaint handling process</w:t>
            </w:r>
          </w:p>
        </w:tc>
        <w:tc>
          <w:tcPr>
            <w:tcW w:w="3827" w:type="dxa"/>
            <w:shd w:val="clear" w:color="auto" w:fill="auto"/>
          </w:tcPr>
          <w:p w14:paraId="4B341C14" w14:textId="3A071B83" w:rsidR="0075709A" w:rsidRPr="00C54BE7" w:rsidRDefault="0075709A" w:rsidP="0075709A">
            <w:pPr>
              <w:rPr>
                <w:rFonts w:ascii="Cabin" w:hAnsi="Cabin"/>
              </w:rPr>
            </w:pPr>
            <w:r w:rsidRPr="00C54BE7">
              <w:rPr>
                <w:rFonts w:ascii="Cabin" w:hAnsi="Cabin"/>
              </w:rPr>
              <w:t>We have a single policy for dealing with complaints covered by the Code and individuals are given the option of raising a complaint where they express dissatisfaction that meets the definition of the complaint in our policy.</w:t>
            </w:r>
          </w:p>
        </w:tc>
        <w:tc>
          <w:tcPr>
            <w:tcW w:w="3118" w:type="dxa"/>
            <w:shd w:val="clear" w:color="auto" w:fill="auto"/>
          </w:tcPr>
          <w:p w14:paraId="2925F6B8" w14:textId="4AF72DE3" w:rsidR="0075709A" w:rsidRPr="0075709A" w:rsidRDefault="0075709A" w:rsidP="0075709A">
            <w:pPr>
              <w:jc w:val="center"/>
              <w:rPr>
                <w:rFonts w:eastAsia="Arial"/>
                <w:b/>
                <w:bCs/>
              </w:rPr>
            </w:pPr>
            <w:r w:rsidRPr="0075709A">
              <w:rPr>
                <w:rFonts w:eastAsia="Arial"/>
                <w:b/>
                <w:bCs/>
              </w:rPr>
              <w:t>Yes</w:t>
            </w:r>
          </w:p>
        </w:tc>
        <w:tc>
          <w:tcPr>
            <w:tcW w:w="4820" w:type="dxa"/>
          </w:tcPr>
          <w:p w14:paraId="5D380CB3" w14:textId="35BC0ABC" w:rsidR="0075709A" w:rsidRPr="00F4198D" w:rsidRDefault="000E5FDB" w:rsidP="0075709A">
            <w:pPr>
              <w:rPr>
                <w:rFonts w:ascii="Arial" w:eastAsia="Arial" w:hAnsi="Arial" w:cs="Arial"/>
              </w:rPr>
            </w:pPr>
            <w:r>
              <w:rPr>
                <w:rFonts w:ascii="Arial" w:eastAsia="Arial" w:hAnsi="Arial" w:cs="Arial"/>
              </w:rPr>
              <w:t xml:space="preserve">We have a most up-to date </w:t>
            </w:r>
            <w:r w:rsidRPr="000E5FDB">
              <w:rPr>
                <w:rFonts w:ascii="Arial" w:eastAsia="Arial" w:hAnsi="Arial" w:cs="Arial"/>
                <w:u w:val="single"/>
              </w:rPr>
              <w:t>Complaint Handling Policy</w:t>
            </w:r>
            <w:r>
              <w:rPr>
                <w:rFonts w:ascii="Arial" w:eastAsia="Arial" w:hAnsi="Arial" w:cs="Arial"/>
              </w:rPr>
              <w:t xml:space="preserve"> that outlines</w:t>
            </w:r>
            <w:r w:rsidR="00FC0A70" w:rsidRPr="00F4198D">
              <w:rPr>
                <w:rFonts w:ascii="Arial" w:eastAsia="Arial" w:hAnsi="Arial" w:cs="Arial"/>
              </w:rPr>
              <w:t xml:space="preserve"> </w:t>
            </w:r>
            <w:r w:rsidR="00CB3FBC" w:rsidRPr="00F4198D">
              <w:rPr>
                <w:rFonts w:ascii="Arial" w:eastAsia="Arial" w:hAnsi="Arial" w:cs="Arial"/>
              </w:rPr>
              <w:t xml:space="preserve">and details the complaint process for all Jewish Care staff. </w:t>
            </w:r>
          </w:p>
          <w:p w14:paraId="3076C750" w14:textId="67760573" w:rsidR="00CB3FBC" w:rsidRPr="00F4198D" w:rsidRDefault="000E5FDB" w:rsidP="0075709A">
            <w:pPr>
              <w:rPr>
                <w:rFonts w:ascii="Arial" w:eastAsia="Arial" w:hAnsi="Arial" w:cs="Arial"/>
              </w:rPr>
            </w:pPr>
            <w:r>
              <w:rPr>
                <w:rFonts w:ascii="Arial" w:eastAsia="Arial" w:hAnsi="Arial" w:cs="Arial"/>
              </w:rPr>
              <w:t xml:space="preserve">We also have an </w:t>
            </w:r>
            <w:r w:rsidR="00CB3FBC" w:rsidRPr="00F4198D">
              <w:rPr>
                <w:rFonts w:ascii="Arial" w:eastAsia="Arial" w:hAnsi="Arial" w:cs="Arial"/>
              </w:rPr>
              <w:t>easy-to-r</w:t>
            </w:r>
            <w:r w:rsidR="00694883">
              <w:rPr>
                <w:rFonts w:ascii="Arial" w:eastAsia="Arial" w:hAnsi="Arial" w:cs="Arial"/>
              </w:rPr>
              <w:t>e</w:t>
            </w:r>
            <w:r w:rsidR="00CB3FBC" w:rsidRPr="00F4198D">
              <w:rPr>
                <w:rFonts w:ascii="Arial" w:eastAsia="Arial" w:hAnsi="Arial" w:cs="Arial"/>
              </w:rPr>
              <w:t>ad</w:t>
            </w:r>
            <w:r>
              <w:rPr>
                <w:rFonts w:ascii="Arial" w:eastAsia="Arial" w:hAnsi="Arial" w:cs="Arial"/>
              </w:rPr>
              <w:t xml:space="preserve"> leaflet titled</w:t>
            </w:r>
            <w:r w:rsidR="00CB3FBC" w:rsidRPr="00F4198D">
              <w:rPr>
                <w:rFonts w:ascii="Arial" w:eastAsia="Arial" w:hAnsi="Arial" w:cs="Arial"/>
              </w:rPr>
              <w:t xml:space="preserve"> </w:t>
            </w:r>
            <w:r w:rsidR="00CB3FBC" w:rsidRPr="00694883">
              <w:rPr>
                <w:rFonts w:ascii="Arial" w:eastAsia="Arial" w:hAnsi="Arial" w:cs="Arial"/>
                <w:u w:val="single"/>
              </w:rPr>
              <w:t xml:space="preserve">Your View Counts </w:t>
            </w:r>
            <w:r w:rsidR="00CB3FBC" w:rsidRPr="00F4198D">
              <w:rPr>
                <w:rFonts w:ascii="Arial" w:eastAsia="Arial" w:hAnsi="Arial" w:cs="Arial"/>
              </w:rPr>
              <w:t xml:space="preserve">which outlines the complaint process for all out clients and their relatives, or visitors. This leaflet also has a poster version which is displayed at all our resources. </w:t>
            </w:r>
          </w:p>
        </w:tc>
      </w:tr>
      <w:tr w:rsidR="0075709A" w:rsidRPr="00F4198D" w14:paraId="4C41D3E7" w14:textId="77777777" w:rsidTr="00A95032">
        <w:trPr>
          <w:cantSplit/>
        </w:trPr>
        <w:tc>
          <w:tcPr>
            <w:tcW w:w="2689" w:type="dxa"/>
            <w:shd w:val="clear" w:color="auto" w:fill="auto"/>
          </w:tcPr>
          <w:p w14:paraId="28C9AD01" w14:textId="3E9678B4" w:rsidR="0075709A" w:rsidRPr="00C54BE7" w:rsidRDefault="0075709A" w:rsidP="0075709A">
            <w:pPr>
              <w:rPr>
                <w:rFonts w:ascii="Cabin" w:eastAsia="Arial" w:hAnsi="Cabin"/>
                <w:b/>
                <w:bCs/>
                <w:sz w:val="24"/>
                <w:szCs w:val="24"/>
              </w:rPr>
            </w:pPr>
            <w:r w:rsidRPr="00C54BE7">
              <w:rPr>
                <w:rFonts w:ascii="Cabin" w:eastAsia="Arial" w:hAnsi="Cabin"/>
                <w:b/>
                <w:bCs/>
                <w:sz w:val="24"/>
                <w:szCs w:val="24"/>
              </w:rPr>
              <w:t>6: Complaints stages (Stage 1)</w:t>
            </w:r>
          </w:p>
        </w:tc>
        <w:tc>
          <w:tcPr>
            <w:tcW w:w="3827" w:type="dxa"/>
            <w:shd w:val="clear" w:color="auto" w:fill="auto"/>
          </w:tcPr>
          <w:p w14:paraId="5BFECB44" w14:textId="355A1418" w:rsidR="0075709A" w:rsidRPr="00C54BE7" w:rsidRDefault="0075709A" w:rsidP="0075709A">
            <w:pPr>
              <w:rPr>
                <w:rFonts w:ascii="Cabin" w:hAnsi="Cabin"/>
              </w:rPr>
            </w:pPr>
            <w:r w:rsidRPr="00C54BE7">
              <w:rPr>
                <w:rFonts w:ascii="Cabin" w:hAnsi="Cabin"/>
              </w:rPr>
              <w:t>We process stage 1 complaints in line with timescales and processes set out in the Code.</w:t>
            </w:r>
          </w:p>
        </w:tc>
        <w:tc>
          <w:tcPr>
            <w:tcW w:w="3118" w:type="dxa"/>
            <w:shd w:val="clear" w:color="auto" w:fill="auto"/>
          </w:tcPr>
          <w:p w14:paraId="58C8C99E" w14:textId="07A82E2B" w:rsidR="0075709A" w:rsidRPr="0075709A" w:rsidRDefault="0075709A" w:rsidP="0075709A">
            <w:pPr>
              <w:jc w:val="center"/>
              <w:rPr>
                <w:rFonts w:eastAsia="Arial"/>
                <w:b/>
                <w:bCs/>
              </w:rPr>
            </w:pPr>
            <w:r w:rsidRPr="0075709A">
              <w:rPr>
                <w:rFonts w:eastAsia="Arial"/>
                <w:b/>
                <w:bCs/>
              </w:rPr>
              <w:t>Yes</w:t>
            </w:r>
          </w:p>
        </w:tc>
        <w:tc>
          <w:tcPr>
            <w:tcW w:w="4820" w:type="dxa"/>
          </w:tcPr>
          <w:p w14:paraId="29EB8B0A" w14:textId="3530C517" w:rsidR="0075709A" w:rsidRPr="00F4198D" w:rsidRDefault="00DE39A0" w:rsidP="0075709A">
            <w:pPr>
              <w:rPr>
                <w:rFonts w:ascii="Arial" w:eastAsia="Arial" w:hAnsi="Arial" w:cs="Arial"/>
              </w:rPr>
            </w:pPr>
            <w:r>
              <w:rPr>
                <w:rFonts w:ascii="Arial" w:eastAsia="Arial" w:hAnsi="Arial" w:cs="Arial"/>
              </w:rPr>
              <w:t xml:space="preserve">We investigate complaints in a </w:t>
            </w:r>
            <w:r w:rsidR="00FA37E0">
              <w:rPr>
                <w:rFonts w:ascii="Arial" w:eastAsia="Arial" w:hAnsi="Arial" w:cs="Arial"/>
              </w:rPr>
              <w:t xml:space="preserve">10-working-days </w:t>
            </w:r>
            <w:proofErr w:type="gramStart"/>
            <w:r w:rsidR="00FA37E0">
              <w:rPr>
                <w:rFonts w:ascii="Arial" w:eastAsia="Arial" w:hAnsi="Arial" w:cs="Arial"/>
              </w:rPr>
              <w:t>timeframe</w:t>
            </w:r>
            <w:proofErr w:type="gramEnd"/>
            <w:r w:rsidR="00FA37E0">
              <w:rPr>
                <w:rFonts w:ascii="Arial" w:eastAsia="Arial" w:hAnsi="Arial" w:cs="Arial"/>
              </w:rPr>
              <w:t>. Once the investigation is concluded, the complainant will receive a detailed outcome letter and/or will be invited to an outcome meeting to discuss the outcome with the investigating manager and the Head of the department.</w:t>
            </w:r>
          </w:p>
        </w:tc>
      </w:tr>
      <w:tr w:rsidR="0075709A" w:rsidRPr="00F4198D" w14:paraId="6D679A96" w14:textId="77777777" w:rsidTr="00A95032">
        <w:trPr>
          <w:cantSplit/>
        </w:trPr>
        <w:tc>
          <w:tcPr>
            <w:tcW w:w="2689" w:type="dxa"/>
            <w:shd w:val="clear" w:color="auto" w:fill="auto"/>
          </w:tcPr>
          <w:p w14:paraId="54467803" w14:textId="7530326B" w:rsidR="0075709A" w:rsidRPr="00C54BE7" w:rsidRDefault="0075709A" w:rsidP="0075709A">
            <w:pPr>
              <w:rPr>
                <w:rFonts w:ascii="Cabin" w:eastAsia="Arial" w:hAnsi="Cabin"/>
                <w:b/>
                <w:bCs/>
                <w:sz w:val="24"/>
                <w:szCs w:val="24"/>
              </w:rPr>
            </w:pPr>
            <w:r w:rsidRPr="00C54BE7">
              <w:rPr>
                <w:rFonts w:ascii="Cabin" w:eastAsia="Arial" w:hAnsi="Cabin"/>
                <w:b/>
                <w:bCs/>
                <w:sz w:val="24"/>
                <w:szCs w:val="24"/>
              </w:rPr>
              <w:lastRenderedPageBreak/>
              <w:t>6: Complaints stages (Stage 2)</w:t>
            </w:r>
          </w:p>
        </w:tc>
        <w:tc>
          <w:tcPr>
            <w:tcW w:w="3827" w:type="dxa"/>
            <w:shd w:val="clear" w:color="auto" w:fill="auto"/>
          </w:tcPr>
          <w:p w14:paraId="2E76F903" w14:textId="4F14167B" w:rsidR="0075709A" w:rsidRPr="00C54BE7" w:rsidRDefault="0075709A" w:rsidP="0075709A">
            <w:pPr>
              <w:rPr>
                <w:rFonts w:ascii="Cabin" w:hAnsi="Cabin"/>
              </w:rPr>
            </w:pPr>
            <w:r w:rsidRPr="00C54BE7">
              <w:rPr>
                <w:rFonts w:ascii="Cabin" w:hAnsi="Cabin"/>
              </w:rPr>
              <w:t>We process stage 2 complaints in line with timescales and processes set out in the Code.</w:t>
            </w:r>
          </w:p>
        </w:tc>
        <w:tc>
          <w:tcPr>
            <w:tcW w:w="3118" w:type="dxa"/>
            <w:shd w:val="clear" w:color="auto" w:fill="auto"/>
          </w:tcPr>
          <w:p w14:paraId="253BAD7A" w14:textId="59FFCCC9" w:rsidR="0075709A" w:rsidRPr="0075709A" w:rsidRDefault="0075709A" w:rsidP="0075709A">
            <w:pPr>
              <w:jc w:val="center"/>
              <w:rPr>
                <w:rFonts w:eastAsia="Arial"/>
                <w:b/>
                <w:bCs/>
              </w:rPr>
            </w:pPr>
            <w:r w:rsidRPr="0075709A">
              <w:rPr>
                <w:rFonts w:eastAsia="Arial"/>
                <w:b/>
                <w:bCs/>
              </w:rPr>
              <w:t>Yes</w:t>
            </w:r>
          </w:p>
        </w:tc>
        <w:tc>
          <w:tcPr>
            <w:tcW w:w="4820" w:type="dxa"/>
          </w:tcPr>
          <w:p w14:paraId="7D7ADC6F" w14:textId="03C24BC0" w:rsidR="0075709A" w:rsidRPr="00F4198D" w:rsidRDefault="00FA37E0" w:rsidP="0075709A">
            <w:pPr>
              <w:rPr>
                <w:rFonts w:ascii="Arial" w:eastAsia="Arial" w:hAnsi="Arial" w:cs="Arial"/>
              </w:rPr>
            </w:pPr>
            <w:r>
              <w:rPr>
                <w:rFonts w:ascii="Arial" w:eastAsia="Arial" w:hAnsi="Arial" w:cs="Arial"/>
              </w:rPr>
              <w:t xml:space="preserve">If the complainant is unhappy with the outcome, they have the right to appeal, and a </w:t>
            </w:r>
            <w:proofErr w:type="gramStart"/>
            <w:r>
              <w:rPr>
                <w:rFonts w:ascii="Arial" w:eastAsia="Arial" w:hAnsi="Arial" w:cs="Arial"/>
              </w:rPr>
              <w:t>Director</w:t>
            </w:r>
            <w:proofErr w:type="gramEnd"/>
            <w:r>
              <w:rPr>
                <w:rFonts w:ascii="Arial" w:eastAsia="Arial" w:hAnsi="Arial" w:cs="Arial"/>
              </w:rPr>
              <w:t xml:space="preserve"> will review their complaint</w:t>
            </w:r>
            <w:r w:rsidR="00C7510D">
              <w:rPr>
                <w:rFonts w:ascii="Arial" w:eastAsia="Arial" w:hAnsi="Arial" w:cs="Arial"/>
              </w:rPr>
              <w:t xml:space="preserve"> in a 20-working-days’ timeframe. </w:t>
            </w:r>
            <w:r w:rsidRPr="00FA37E0">
              <w:rPr>
                <w:rFonts w:ascii="Arial" w:eastAsia="Arial" w:hAnsi="Arial" w:cs="Arial"/>
              </w:rPr>
              <w:t xml:space="preserve">Once the investigation is concluded, the complainant will receive a detailed outcome letter and/or will be invited to an outcome meeting to discuss the outcome with the investigating manager and the </w:t>
            </w:r>
            <w:r w:rsidR="00CA04CD">
              <w:rPr>
                <w:rFonts w:ascii="Arial" w:eastAsia="Arial" w:hAnsi="Arial" w:cs="Arial"/>
              </w:rPr>
              <w:t xml:space="preserve">Director </w:t>
            </w:r>
            <w:r w:rsidRPr="00FA37E0">
              <w:rPr>
                <w:rFonts w:ascii="Arial" w:eastAsia="Arial" w:hAnsi="Arial" w:cs="Arial"/>
              </w:rPr>
              <w:t>of the department.</w:t>
            </w:r>
            <w:r w:rsidR="00C7510D">
              <w:rPr>
                <w:rFonts w:ascii="Arial" w:eastAsia="Arial" w:hAnsi="Arial" w:cs="Arial"/>
              </w:rPr>
              <w:t xml:space="preserve"> If the complainant is still unhappy with the outcome, we will support them to refer their complaint to the Ombudsman. </w:t>
            </w:r>
          </w:p>
        </w:tc>
      </w:tr>
      <w:tr w:rsidR="0075709A" w:rsidRPr="00F4198D" w14:paraId="4A308A12" w14:textId="77777777" w:rsidTr="00A95032">
        <w:trPr>
          <w:cantSplit/>
        </w:trPr>
        <w:tc>
          <w:tcPr>
            <w:tcW w:w="2689" w:type="dxa"/>
            <w:shd w:val="clear" w:color="auto" w:fill="auto"/>
          </w:tcPr>
          <w:p w14:paraId="23AF2256" w14:textId="545AB43A" w:rsidR="0075709A" w:rsidRPr="00C54BE7" w:rsidRDefault="0075709A" w:rsidP="0075709A">
            <w:pPr>
              <w:rPr>
                <w:rFonts w:ascii="Cabin" w:eastAsia="Arial" w:hAnsi="Cabin"/>
                <w:b/>
                <w:bCs/>
                <w:sz w:val="24"/>
                <w:szCs w:val="24"/>
              </w:rPr>
            </w:pPr>
            <w:r w:rsidRPr="00C54BE7">
              <w:rPr>
                <w:rFonts w:ascii="Cabin" w:eastAsia="Arial" w:hAnsi="Cabin"/>
                <w:b/>
                <w:bCs/>
                <w:sz w:val="24"/>
                <w:szCs w:val="24"/>
              </w:rPr>
              <w:t>7: Putting things right</w:t>
            </w:r>
          </w:p>
        </w:tc>
        <w:tc>
          <w:tcPr>
            <w:tcW w:w="3827" w:type="dxa"/>
            <w:shd w:val="clear" w:color="auto" w:fill="auto"/>
          </w:tcPr>
          <w:p w14:paraId="10C50673" w14:textId="5551C2D1" w:rsidR="0075709A" w:rsidRPr="00C54BE7" w:rsidRDefault="0075709A" w:rsidP="0075709A">
            <w:pPr>
              <w:rPr>
                <w:rFonts w:ascii="Cabin" w:hAnsi="Cabin"/>
              </w:rPr>
            </w:pPr>
            <w:r w:rsidRPr="00C54BE7">
              <w:rPr>
                <w:rFonts w:ascii="Cabin" w:hAnsi="Cabin"/>
              </w:rPr>
              <w:t xml:space="preserve">When something has gone </w:t>
            </w:r>
            <w:r w:rsidR="006811CD" w:rsidRPr="00C54BE7">
              <w:rPr>
                <w:rFonts w:ascii="Cabin" w:hAnsi="Cabin"/>
              </w:rPr>
              <w:t>wrong,</w:t>
            </w:r>
            <w:r w:rsidRPr="00C54BE7">
              <w:rPr>
                <w:rFonts w:ascii="Cabin" w:hAnsi="Cabin"/>
              </w:rPr>
              <w:t xml:space="preserve"> we take action to put things right.</w:t>
            </w:r>
          </w:p>
        </w:tc>
        <w:tc>
          <w:tcPr>
            <w:tcW w:w="3118" w:type="dxa"/>
            <w:shd w:val="clear" w:color="auto" w:fill="auto"/>
          </w:tcPr>
          <w:p w14:paraId="71952F02" w14:textId="45601875" w:rsidR="0075709A" w:rsidRPr="0075709A" w:rsidRDefault="0075709A" w:rsidP="0075709A">
            <w:pPr>
              <w:jc w:val="center"/>
              <w:rPr>
                <w:rFonts w:eastAsia="Arial"/>
                <w:b/>
                <w:bCs/>
              </w:rPr>
            </w:pPr>
            <w:r w:rsidRPr="0075709A">
              <w:rPr>
                <w:rFonts w:eastAsia="Arial"/>
                <w:b/>
                <w:bCs/>
              </w:rPr>
              <w:t>Yes</w:t>
            </w:r>
          </w:p>
        </w:tc>
        <w:tc>
          <w:tcPr>
            <w:tcW w:w="4820" w:type="dxa"/>
          </w:tcPr>
          <w:p w14:paraId="033959A4" w14:textId="0611AD56" w:rsidR="0075709A" w:rsidRPr="00F4198D" w:rsidRDefault="00623035" w:rsidP="0075709A">
            <w:pPr>
              <w:rPr>
                <w:rFonts w:ascii="Arial" w:eastAsia="Arial" w:hAnsi="Arial" w:cs="Arial"/>
              </w:rPr>
            </w:pPr>
            <w:r w:rsidRPr="00623035">
              <w:rPr>
                <w:rFonts w:ascii="Arial" w:eastAsia="Arial" w:hAnsi="Arial" w:cs="Arial"/>
              </w:rPr>
              <w:t>Where something has gone wrong Jewish Care acknowledges this and set out the actions it has already taken, or intends to take, to put things right.</w:t>
            </w:r>
            <w:r>
              <w:rPr>
                <w:rFonts w:ascii="Arial" w:eastAsia="Arial" w:hAnsi="Arial" w:cs="Arial"/>
              </w:rPr>
              <w:t xml:space="preserve"> </w:t>
            </w:r>
            <w:r w:rsidR="005D2B89" w:rsidRPr="005D2B89">
              <w:rPr>
                <w:rFonts w:ascii="Arial" w:eastAsia="Arial" w:hAnsi="Arial" w:cs="Arial"/>
              </w:rPr>
              <w:t xml:space="preserve">Any remedy offered must reflect the impact on the complainant </w:t>
            </w:r>
            <w:proofErr w:type="gramStart"/>
            <w:r w:rsidR="005D2B89" w:rsidRPr="005D2B89">
              <w:rPr>
                <w:rFonts w:ascii="Arial" w:eastAsia="Arial" w:hAnsi="Arial" w:cs="Arial"/>
              </w:rPr>
              <w:t>as a result of</w:t>
            </w:r>
            <w:proofErr w:type="gramEnd"/>
            <w:r w:rsidR="005D2B89" w:rsidRPr="005D2B89">
              <w:rPr>
                <w:rFonts w:ascii="Arial" w:eastAsia="Arial" w:hAnsi="Arial" w:cs="Arial"/>
              </w:rPr>
              <w:t xml:space="preserve"> any fault identified. </w:t>
            </w:r>
          </w:p>
        </w:tc>
      </w:tr>
      <w:tr w:rsidR="0075709A" w:rsidRPr="00F4198D" w14:paraId="1B4EC8EC" w14:textId="77777777" w:rsidTr="00A95032">
        <w:trPr>
          <w:cantSplit/>
        </w:trPr>
        <w:tc>
          <w:tcPr>
            <w:tcW w:w="2689" w:type="dxa"/>
            <w:shd w:val="clear" w:color="auto" w:fill="auto"/>
          </w:tcPr>
          <w:p w14:paraId="377BCFD8" w14:textId="02E1649A" w:rsidR="0075709A" w:rsidRPr="00C54BE7" w:rsidRDefault="0075709A" w:rsidP="0075709A">
            <w:pPr>
              <w:rPr>
                <w:rFonts w:ascii="Cabin" w:eastAsia="Arial" w:hAnsi="Cabin"/>
                <w:b/>
                <w:bCs/>
                <w:sz w:val="24"/>
                <w:szCs w:val="24"/>
              </w:rPr>
            </w:pPr>
            <w:r w:rsidRPr="00C54BE7">
              <w:rPr>
                <w:rFonts w:ascii="Cabin" w:eastAsia="Arial" w:hAnsi="Cabin"/>
                <w:b/>
                <w:bCs/>
                <w:sz w:val="24"/>
                <w:szCs w:val="24"/>
              </w:rPr>
              <w:t xml:space="preserve">8: Performance reporting and </w:t>
            </w:r>
            <w:r>
              <w:rPr>
                <w:rFonts w:ascii="Cabin" w:eastAsia="Arial" w:hAnsi="Cabin"/>
                <w:b/>
                <w:bCs/>
                <w:sz w:val="24"/>
                <w:szCs w:val="24"/>
              </w:rPr>
              <w:br/>
            </w:r>
            <w:r w:rsidRPr="00C54BE7">
              <w:rPr>
                <w:rFonts w:ascii="Cabin" w:eastAsia="Arial" w:hAnsi="Cabin"/>
                <w:b/>
                <w:bCs/>
                <w:sz w:val="24"/>
                <w:szCs w:val="24"/>
              </w:rPr>
              <w:t>self-assessment</w:t>
            </w:r>
          </w:p>
        </w:tc>
        <w:tc>
          <w:tcPr>
            <w:tcW w:w="3827" w:type="dxa"/>
            <w:shd w:val="clear" w:color="auto" w:fill="auto"/>
          </w:tcPr>
          <w:p w14:paraId="23E17008" w14:textId="50CD9EAF" w:rsidR="0075709A" w:rsidRPr="00C54BE7" w:rsidRDefault="0075709A" w:rsidP="0075709A">
            <w:pPr>
              <w:rPr>
                <w:rFonts w:ascii="Cabin" w:hAnsi="Cabin"/>
              </w:rPr>
            </w:pPr>
            <w:r w:rsidRPr="00C54BE7">
              <w:rPr>
                <w:rFonts w:ascii="Cabin" w:hAnsi="Cabin"/>
              </w:rPr>
              <w:t xml:space="preserve">We produce an annual complaints performance and service improvement report for scrutiny and challenge which includes a </w:t>
            </w:r>
            <w:r>
              <w:rPr>
                <w:rFonts w:ascii="Cabin" w:hAnsi="Cabin"/>
              </w:rPr>
              <w:br/>
            </w:r>
            <w:r w:rsidRPr="00C54BE7">
              <w:rPr>
                <w:rFonts w:ascii="Cabin" w:hAnsi="Cabin"/>
              </w:rPr>
              <w:t>self-assessment against the Code.</w:t>
            </w:r>
          </w:p>
        </w:tc>
        <w:tc>
          <w:tcPr>
            <w:tcW w:w="3118" w:type="dxa"/>
            <w:shd w:val="clear" w:color="auto" w:fill="auto"/>
          </w:tcPr>
          <w:p w14:paraId="1A939F3A" w14:textId="12970764" w:rsidR="0075709A" w:rsidRPr="0075709A" w:rsidRDefault="0075709A" w:rsidP="0075709A">
            <w:pPr>
              <w:jc w:val="center"/>
              <w:rPr>
                <w:rFonts w:eastAsia="Arial"/>
                <w:b/>
                <w:bCs/>
              </w:rPr>
            </w:pPr>
            <w:r w:rsidRPr="0075709A">
              <w:rPr>
                <w:rFonts w:eastAsia="Arial"/>
                <w:b/>
                <w:bCs/>
              </w:rPr>
              <w:t>Yes</w:t>
            </w:r>
          </w:p>
        </w:tc>
        <w:tc>
          <w:tcPr>
            <w:tcW w:w="4820" w:type="dxa"/>
          </w:tcPr>
          <w:p w14:paraId="2C503004" w14:textId="1D8D85E4" w:rsidR="0075709A" w:rsidRPr="00F4198D" w:rsidRDefault="00B34BBA" w:rsidP="0075709A">
            <w:pPr>
              <w:rPr>
                <w:rFonts w:ascii="Arial" w:eastAsia="Arial" w:hAnsi="Arial" w:cs="Arial"/>
              </w:rPr>
            </w:pPr>
            <w:r>
              <w:rPr>
                <w:rFonts w:ascii="Arial" w:eastAsia="Arial" w:hAnsi="Arial" w:cs="Arial"/>
              </w:rPr>
              <w:t xml:space="preserve">Jewish Care </w:t>
            </w:r>
            <w:r w:rsidR="00C44B50">
              <w:rPr>
                <w:rFonts w:ascii="Arial" w:eastAsia="Arial" w:hAnsi="Arial" w:cs="Arial"/>
              </w:rPr>
              <w:t>produces an annual (as well as quarterly) performance and service improvement report to identify trends in complaints</w:t>
            </w:r>
            <w:r w:rsidR="00F77E2E">
              <w:rPr>
                <w:rFonts w:ascii="Arial" w:eastAsia="Arial" w:hAnsi="Arial" w:cs="Arial"/>
              </w:rPr>
              <w:t xml:space="preserve"> and monitor </w:t>
            </w:r>
            <w:r w:rsidR="00AA3DEF">
              <w:rPr>
                <w:rFonts w:ascii="Arial" w:eastAsia="Arial" w:hAnsi="Arial" w:cs="Arial"/>
              </w:rPr>
              <w:t>learning plans</w:t>
            </w:r>
            <w:r w:rsidR="00F77E2E">
              <w:rPr>
                <w:rFonts w:ascii="Arial" w:eastAsia="Arial" w:hAnsi="Arial" w:cs="Arial"/>
              </w:rPr>
              <w:t xml:space="preserve">. Jewish Care also </w:t>
            </w:r>
            <w:r w:rsidR="009661CB">
              <w:rPr>
                <w:rFonts w:ascii="Arial" w:eastAsia="Arial" w:hAnsi="Arial" w:cs="Arial"/>
              </w:rPr>
              <w:t xml:space="preserve">provides a self-assessment against the Housing and Local Social Care Ombudsman’s Complaint Handling Code. </w:t>
            </w:r>
            <w:r w:rsidR="004934DF">
              <w:rPr>
                <w:rFonts w:ascii="Arial" w:eastAsia="Arial" w:hAnsi="Arial" w:cs="Arial"/>
              </w:rPr>
              <w:t xml:space="preserve">The self-assessment reports and the annual performance &amp; service improvement report </w:t>
            </w:r>
            <w:r w:rsidR="009661CB">
              <w:rPr>
                <w:rFonts w:ascii="Arial" w:eastAsia="Arial" w:hAnsi="Arial" w:cs="Arial"/>
              </w:rPr>
              <w:t xml:space="preserve">are published on Jewish Care’s website. </w:t>
            </w:r>
          </w:p>
        </w:tc>
      </w:tr>
      <w:tr w:rsidR="0075709A" w:rsidRPr="00F4198D" w14:paraId="531D7A37" w14:textId="77777777" w:rsidTr="00A95032">
        <w:trPr>
          <w:cantSplit/>
        </w:trPr>
        <w:tc>
          <w:tcPr>
            <w:tcW w:w="2689" w:type="dxa"/>
            <w:shd w:val="clear" w:color="auto" w:fill="auto"/>
          </w:tcPr>
          <w:p w14:paraId="2EDCCACF" w14:textId="6AB700C9" w:rsidR="0075709A" w:rsidRPr="00C54BE7" w:rsidRDefault="0075709A" w:rsidP="0075709A">
            <w:pPr>
              <w:rPr>
                <w:rFonts w:ascii="Cabin" w:eastAsia="Arial" w:hAnsi="Cabin"/>
                <w:b/>
                <w:bCs/>
                <w:sz w:val="24"/>
                <w:szCs w:val="24"/>
              </w:rPr>
            </w:pPr>
            <w:r w:rsidRPr="00C54BE7">
              <w:rPr>
                <w:rFonts w:ascii="Cabin" w:eastAsia="Arial" w:hAnsi="Cabin"/>
                <w:b/>
                <w:bCs/>
                <w:sz w:val="24"/>
                <w:szCs w:val="24"/>
              </w:rPr>
              <w:lastRenderedPageBreak/>
              <w:t>9: Scrutiny &amp; Oversight</w:t>
            </w:r>
          </w:p>
        </w:tc>
        <w:tc>
          <w:tcPr>
            <w:tcW w:w="3827" w:type="dxa"/>
            <w:shd w:val="clear" w:color="auto" w:fill="auto"/>
          </w:tcPr>
          <w:p w14:paraId="675D32BA" w14:textId="2C97089C" w:rsidR="0075709A" w:rsidRPr="00C54BE7" w:rsidRDefault="0075709A" w:rsidP="0075709A">
            <w:pPr>
              <w:rPr>
                <w:rFonts w:ascii="Cabin" w:hAnsi="Cabin"/>
              </w:rPr>
            </w:pPr>
            <w:r w:rsidRPr="00C54BE7">
              <w:rPr>
                <w:rFonts w:ascii="Cabin" w:hAnsi="Cabin"/>
              </w:rPr>
              <w:t>We have appropriate senior leadership and governance oversight of the complaints process and performance.</w:t>
            </w:r>
          </w:p>
        </w:tc>
        <w:tc>
          <w:tcPr>
            <w:tcW w:w="3118" w:type="dxa"/>
            <w:shd w:val="clear" w:color="auto" w:fill="auto"/>
          </w:tcPr>
          <w:p w14:paraId="7D6FE701" w14:textId="4703345C" w:rsidR="0075709A" w:rsidRPr="0075709A" w:rsidRDefault="0075709A" w:rsidP="0075709A">
            <w:pPr>
              <w:jc w:val="center"/>
              <w:rPr>
                <w:rFonts w:eastAsia="Arial"/>
                <w:b/>
                <w:bCs/>
              </w:rPr>
            </w:pPr>
            <w:r w:rsidRPr="0075709A">
              <w:rPr>
                <w:rFonts w:eastAsia="Arial"/>
                <w:b/>
                <w:bCs/>
              </w:rPr>
              <w:t>Yes</w:t>
            </w:r>
          </w:p>
        </w:tc>
        <w:tc>
          <w:tcPr>
            <w:tcW w:w="4820" w:type="dxa"/>
          </w:tcPr>
          <w:p w14:paraId="48FDFE9C" w14:textId="724A14AD" w:rsidR="0075709A" w:rsidRPr="00F4198D" w:rsidRDefault="001F26E4" w:rsidP="0075709A">
            <w:pPr>
              <w:rPr>
                <w:rFonts w:ascii="Arial" w:eastAsia="Arial" w:hAnsi="Arial" w:cs="Arial"/>
              </w:rPr>
            </w:pPr>
            <w:r>
              <w:rPr>
                <w:rFonts w:ascii="Arial" w:eastAsia="Arial" w:hAnsi="Arial" w:cs="Arial"/>
              </w:rPr>
              <w:t>Jewish Care’s</w:t>
            </w:r>
            <w:r w:rsidR="00385D9D">
              <w:rPr>
                <w:rFonts w:ascii="Arial" w:eastAsia="Arial" w:hAnsi="Arial" w:cs="Arial"/>
              </w:rPr>
              <w:t xml:space="preserve"> Board of Trustees </w:t>
            </w:r>
            <w:r w:rsidR="001F2600">
              <w:rPr>
                <w:rFonts w:ascii="Arial" w:eastAsia="Arial" w:hAnsi="Arial" w:cs="Arial"/>
              </w:rPr>
              <w:t>has oversight of the complaint</w:t>
            </w:r>
            <w:r w:rsidR="000543E7">
              <w:rPr>
                <w:rFonts w:ascii="Arial" w:eastAsia="Arial" w:hAnsi="Arial" w:cs="Arial"/>
              </w:rPr>
              <w:t>s</w:t>
            </w:r>
            <w:r w:rsidR="001F2600">
              <w:rPr>
                <w:rFonts w:ascii="Arial" w:eastAsia="Arial" w:hAnsi="Arial" w:cs="Arial"/>
              </w:rPr>
              <w:t xml:space="preserve"> process</w:t>
            </w:r>
            <w:r w:rsidR="00F13A56">
              <w:rPr>
                <w:rFonts w:ascii="Arial" w:eastAsia="Arial" w:hAnsi="Arial" w:cs="Arial"/>
              </w:rPr>
              <w:t xml:space="preserve">, reviews the </w:t>
            </w:r>
            <w:r w:rsidR="002348BB">
              <w:rPr>
                <w:rFonts w:ascii="Arial" w:eastAsia="Arial" w:hAnsi="Arial" w:cs="Arial"/>
              </w:rPr>
              <w:t>above-mentioned</w:t>
            </w:r>
            <w:r w:rsidR="00F13A56">
              <w:rPr>
                <w:rFonts w:ascii="Arial" w:eastAsia="Arial" w:hAnsi="Arial" w:cs="Arial"/>
              </w:rPr>
              <w:t xml:space="preserve"> quarterly </w:t>
            </w:r>
            <w:r w:rsidR="003A5143">
              <w:rPr>
                <w:rFonts w:ascii="Arial" w:eastAsia="Arial" w:hAnsi="Arial" w:cs="Arial"/>
              </w:rPr>
              <w:t>reports,</w:t>
            </w:r>
            <w:r w:rsidR="001F2600">
              <w:rPr>
                <w:rFonts w:ascii="Arial" w:eastAsia="Arial" w:hAnsi="Arial" w:cs="Arial"/>
              </w:rPr>
              <w:t xml:space="preserve"> and </w:t>
            </w:r>
            <w:r w:rsidR="00E37BDD">
              <w:rPr>
                <w:rFonts w:ascii="Arial" w:eastAsia="Arial" w:hAnsi="Arial" w:cs="Arial"/>
              </w:rPr>
              <w:t xml:space="preserve">monitors </w:t>
            </w:r>
            <w:r w:rsidR="001F2600">
              <w:rPr>
                <w:rFonts w:ascii="Arial" w:eastAsia="Arial" w:hAnsi="Arial" w:cs="Arial"/>
              </w:rPr>
              <w:t xml:space="preserve">Jewish Care’s </w:t>
            </w:r>
            <w:r w:rsidR="007F19EE">
              <w:rPr>
                <w:rFonts w:ascii="Arial" w:eastAsia="Arial" w:hAnsi="Arial" w:cs="Arial"/>
              </w:rPr>
              <w:t xml:space="preserve">performance based on customer feedback. </w:t>
            </w:r>
          </w:p>
        </w:tc>
      </w:tr>
    </w:tbl>
    <w:p w14:paraId="5D5F06D8" w14:textId="77777777" w:rsidR="00C54BE7" w:rsidRPr="00C54BE7" w:rsidRDefault="00C54BE7">
      <w:pPr>
        <w:rPr>
          <w:rFonts w:ascii="Cabin" w:hAnsi="Cabin"/>
          <w:b/>
          <w:bCs/>
          <w:sz w:val="28"/>
          <w:szCs w:val="28"/>
        </w:rPr>
      </w:pPr>
    </w:p>
    <w:sectPr w:rsidR="00C54BE7" w:rsidRPr="00C54BE7" w:rsidSect="00C54BE7">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8F04E" w14:textId="77777777" w:rsidR="00C54BE7" w:rsidRDefault="00C54BE7" w:rsidP="00C54BE7">
      <w:pPr>
        <w:spacing w:after="0" w:line="240" w:lineRule="auto"/>
      </w:pPr>
      <w:r>
        <w:separator/>
      </w:r>
    </w:p>
  </w:endnote>
  <w:endnote w:type="continuationSeparator" w:id="0">
    <w:p w14:paraId="597F6600" w14:textId="77777777" w:rsidR="00C54BE7" w:rsidRDefault="00C54BE7" w:rsidP="00C5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altName w:val="Calibri"/>
    <w:charset w:val="00"/>
    <w:family w:val="auto"/>
    <w:pitch w:val="variable"/>
    <w:sig w:usb0="A00000F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4729"/>
      <w:docPartObj>
        <w:docPartGallery w:val="Page Numbers (Bottom of Page)"/>
        <w:docPartUnique/>
      </w:docPartObj>
    </w:sdtPr>
    <w:sdtEndPr>
      <w:rPr>
        <w:noProof/>
      </w:rPr>
    </w:sdtEndPr>
    <w:sdtContent>
      <w:p w14:paraId="546A7559" w14:textId="04B5D3BE" w:rsidR="00C54BE7" w:rsidRDefault="00C54BE7">
        <w:pPr>
          <w:pStyle w:val="Footer"/>
          <w:jc w:val="right"/>
        </w:pPr>
        <w:r w:rsidRPr="00C54BE7">
          <w:rPr>
            <w:rFonts w:ascii="Cabin" w:hAnsi="Cabin"/>
            <w:color w:val="A6A6A6" w:themeColor="background1" w:themeShade="A6"/>
          </w:rPr>
          <w:fldChar w:fldCharType="begin"/>
        </w:r>
        <w:r w:rsidRPr="00C54BE7">
          <w:rPr>
            <w:rFonts w:ascii="Cabin" w:hAnsi="Cabin"/>
            <w:color w:val="A6A6A6" w:themeColor="background1" w:themeShade="A6"/>
          </w:rPr>
          <w:instrText xml:space="preserve"> PAGE   \* MERGEFORMAT </w:instrText>
        </w:r>
        <w:r w:rsidRPr="00C54BE7">
          <w:rPr>
            <w:rFonts w:ascii="Cabin" w:hAnsi="Cabin"/>
            <w:color w:val="A6A6A6" w:themeColor="background1" w:themeShade="A6"/>
          </w:rPr>
          <w:fldChar w:fldCharType="separate"/>
        </w:r>
        <w:r w:rsidRPr="00C54BE7">
          <w:rPr>
            <w:rFonts w:ascii="Cabin" w:hAnsi="Cabin"/>
            <w:noProof/>
            <w:color w:val="A6A6A6" w:themeColor="background1" w:themeShade="A6"/>
          </w:rPr>
          <w:t>2</w:t>
        </w:r>
        <w:r w:rsidRPr="00C54BE7">
          <w:rPr>
            <w:rFonts w:ascii="Cabin" w:hAnsi="Cabin"/>
            <w:noProof/>
            <w:color w:val="A6A6A6" w:themeColor="background1" w:themeShade="A6"/>
          </w:rPr>
          <w:fldChar w:fldCharType="end"/>
        </w:r>
      </w:p>
    </w:sdtContent>
  </w:sdt>
  <w:p w14:paraId="2E544581" w14:textId="7D6F1DC2" w:rsidR="00C54BE7" w:rsidRPr="00C54BE7" w:rsidRDefault="00C54BE7">
    <w:pPr>
      <w:pStyle w:val="Footer"/>
      <w:rPr>
        <w:rFonts w:ascii="Arial" w:hAnsi="Arial" w:cs="Arial"/>
        <w:i/>
        <w:iCs/>
        <w:color w:val="A6A6A6" w:themeColor="background1" w:themeShade="A6"/>
      </w:rPr>
    </w:pPr>
    <w:r w:rsidRPr="00C54BE7">
      <w:rPr>
        <w:rFonts w:ascii="Arial" w:hAnsi="Arial" w:cs="Arial"/>
        <w:i/>
        <w:iCs/>
        <w:color w:val="A6A6A6" w:themeColor="background1" w:themeShade="A6"/>
      </w:rPr>
      <w:t>Self-assessment against the requirements of the Code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DF28B" w14:textId="77777777" w:rsidR="00C54BE7" w:rsidRDefault="00C54BE7" w:rsidP="00C54BE7">
      <w:pPr>
        <w:spacing w:after="0" w:line="240" w:lineRule="auto"/>
      </w:pPr>
      <w:r>
        <w:separator/>
      </w:r>
    </w:p>
  </w:footnote>
  <w:footnote w:type="continuationSeparator" w:id="0">
    <w:p w14:paraId="511290F7" w14:textId="77777777" w:rsidR="00C54BE7" w:rsidRDefault="00C54BE7" w:rsidP="00C5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70CE" w14:textId="71E1F8F4" w:rsidR="001D3C86" w:rsidRDefault="001D3C86" w:rsidP="001D3C86">
    <w:pPr>
      <w:pStyle w:val="Header"/>
      <w:jc w:val="right"/>
    </w:pPr>
    <w:r>
      <w:rPr>
        <w:noProof/>
      </w:rPr>
      <w:drawing>
        <wp:anchor distT="0" distB="0" distL="114300" distR="114300" simplePos="0" relativeHeight="251658240" behindDoc="1" locked="0" layoutInCell="1" allowOverlap="1" wp14:anchorId="0518A793" wp14:editId="1BDD03F9">
          <wp:simplePos x="0" y="0"/>
          <wp:positionH relativeFrom="column">
            <wp:posOffset>7561248</wp:posOffset>
          </wp:positionH>
          <wp:positionV relativeFrom="paragraph">
            <wp:posOffset>-242735</wp:posOffset>
          </wp:positionV>
          <wp:extent cx="1975871" cy="671974"/>
          <wp:effectExtent l="0" t="0" r="5715" b="0"/>
          <wp:wrapNone/>
          <wp:docPr id="52712491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12491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871" cy="6719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C395C"/>
    <w:multiLevelType w:val="multilevel"/>
    <w:tmpl w:val="20247E68"/>
    <w:lvl w:ilvl="0">
      <w:start w:val="18"/>
      <w:numFmt w:val="decimal"/>
      <w:lvlText w:val="%1."/>
      <w:lvlJc w:val="left"/>
      <w:pPr>
        <w:ind w:left="720" w:hanging="360"/>
      </w:pPr>
      <w:rPr>
        <w:rFonts w:hint="default"/>
      </w:rPr>
    </w:lvl>
    <w:lvl w:ilvl="1">
      <w:start w:val="1"/>
      <w:numFmt w:val="decimal"/>
      <w:isLgl/>
      <w:lvlText w:val="%1.%2"/>
      <w:lvlJc w:val="left"/>
      <w:pPr>
        <w:ind w:left="833" w:hanging="473"/>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4A8A4661"/>
    <w:multiLevelType w:val="multilevel"/>
    <w:tmpl w:val="50961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AA4A83"/>
    <w:multiLevelType w:val="multilevel"/>
    <w:tmpl w:val="44A4BA9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16cid:durableId="1827015903">
    <w:abstractNumId w:val="1"/>
  </w:num>
  <w:num w:numId="2" w16cid:durableId="1302033560">
    <w:abstractNumId w:val="2"/>
  </w:num>
  <w:num w:numId="3" w16cid:durableId="131579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E7"/>
    <w:rsid w:val="000001D2"/>
    <w:rsid w:val="000453AB"/>
    <w:rsid w:val="000543E7"/>
    <w:rsid w:val="000737C4"/>
    <w:rsid w:val="000902B7"/>
    <w:rsid w:val="000E5BB1"/>
    <w:rsid w:val="000E5FDB"/>
    <w:rsid w:val="00124AC6"/>
    <w:rsid w:val="00157415"/>
    <w:rsid w:val="001D3C86"/>
    <w:rsid w:val="001F2600"/>
    <w:rsid w:val="001F26E4"/>
    <w:rsid w:val="00206CA7"/>
    <w:rsid w:val="002348BB"/>
    <w:rsid w:val="00273211"/>
    <w:rsid w:val="002C6DBD"/>
    <w:rsid w:val="002F5B7A"/>
    <w:rsid w:val="00336904"/>
    <w:rsid w:val="0037172C"/>
    <w:rsid w:val="00385D9D"/>
    <w:rsid w:val="00394045"/>
    <w:rsid w:val="003A5143"/>
    <w:rsid w:val="004009E0"/>
    <w:rsid w:val="00405CBE"/>
    <w:rsid w:val="0044577B"/>
    <w:rsid w:val="00454D28"/>
    <w:rsid w:val="00467D61"/>
    <w:rsid w:val="004934DF"/>
    <w:rsid w:val="00497BB9"/>
    <w:rsid w:val="0054172C"/>
    <w:rsid w:val="00542148"/>
    <w:rsid w:val="005A16D0"/>
    <w:rsid w:val="005A5B9E"/>
    <w:rsid w:val="005D2B89"/>
    <w:rsid w:val="0061655E"/>
    <w:rsid w:val="00623035"/>
    <w:rsid w:val="006321E9"/>
    <w:rsid w:val="006811CD"/>
    <w:rsid w:val="00694883"/>
    <w:rsid w:val="006A05E8"/>
    <w:rsid w:val="006D5A93"/>
    <w:rsid w:val="00712F88"/>
    <w:rsid w:val="0075709A"/>
    <w:rsid w:val="00797166"/>
    <w:rsid w:val="007F19EE"/>
    <w:rsid w:val="008533DE"/>
    <w:rsid w:val="008D059F"/>
    <w:rsid w:val="009119DC"/>
    <w:rsid w:val="009661CB"/>
    <w:rsid w:val="00976F93"/>
    <w:rsid w:val="009B0C72"/>
    <w:rsid w:val="00A05139"/>
    <w:rsid w:val="00A1418F"/>
    <w:rsid w:val="00A21A3B"/>
    <w:rsid w:val="00A6764A"/>
    <w:rsid w:val="00A7332C"/>
    <w:rsid w:val="00A95032"/>
    <w:rsid w:val="00A97F1C"/>
    <w:rsid w:val="00AA3DEF"/>
    <w:rsid w:val="00B34BBA"/>
    <w:rsid w:val="00BC62D5"/>
    <w:rsid w:val="00BD70A0"/>
    <w:rsid w:val="00BD7BB3"/>
    <w:rsid w:val="00C07978"/>
    <w:rsid w:val="00C44B50"/>
    <w:rsid w:val="00C54BE7"/>
    <w:rsid w:val="00C7510D"/>
    <w:rsid w:val="00C93ED0"/>
    <w:rsid w:val="00CA04CD"/>
    <w:rsid w:val="00CA1EAC"/>
    <w:rsid w:val="00CA3ED4"/>
    <w:rsid w:val="00CB3FBC"/>
    <w:rsid w:val="00CD6366"/>
    <w:rsid w:val="00D1584B"/>
    <w:rsid w:val="00D2000D"/>
    <w:rsid w:val="00DB4031"/>
    <w:rsid w:val="00DD0A52"/>
    <w:rsid w:val="00DE39A0"/>
    <w:rsid w:val="00E37BDD"/>
    <w:rsid w:val="00E965E6"/>
    <w:rsid w:val="00F13A56"/>
    <w:rsid w:val="00F1709D"/>
    <w:rsid w:val="00F34284"/>
    <w:rsid w:val="00F4198D"/>
    <w:rsid w:val="00F77E2E"/>
    <w:rsid w:val="00FA37E0"/>
    <w:rsid w:val="00FB5458"/>
    <w:rsid w:val="00FC0A70"/>
    <w:rsid w:val="00FC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136E4"/>
  <w15:chartTrackingRefBased/>
  <w15:docId w15:val="{0D35AD51-6984-45A6-A5EA-8471F2C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E7"/>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BE7"/>
  </w:style>
  <w:style w:type="paragraph" w:styleId="Footer">
    <w:name w:val="footer"/>
    <w:basedOn w:val="Normal"/>
    <w:link w:val="FooterChar"/>
    <w:uiPriority w:val="99"/>
    <w:unhideWhenUsed/>
    <w:rsid w:val="00C5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BE7"/>
  </w:style>
  <w:style w:type="character" w:styleId="Hyperlink">
    <w:name w:val="Hyperlink"/>
    <w:basedOn w:val="DefaultParagraphFont"/>
    <w:uiPriority w:val="99"/>
    <w:unhideWhenUsed/>
    <w:rsid w:val="00DD0A52"/>
    <w:rPr>
      <w:color w:val="0563C1" w:themeColor="hyperlink"/>
      <w:u w:val="single"/>
    </w:rPr>
  </w:style>
  <w:style w:type="character" w:styleId="UnresolvedMention">
    <w:name w:val="Unresolved Mention"/>
    <w:basedOn w:val="DefaultParagraphFont"/>
    <w:uiPriority w:val="99"/>
    <w:semiHidden/>
    <w:unhideWhenUsed/>
    <w:rsid w:val="00DD0A52"/>
    <w:rPr>
      <w:color w:val="605E5C"/>
      <w:shd w:val="clear" w:color="auto" w:fill="E1DFDD"/>
    </w:rPr>
  </w:style>
  <w:style w:type="paragraph" w:styleId="ListParagraph">
    <w:name w:val="List Paragraph"/>
    <w:basedOn w:val="Normal"/>
    <w:uiPriority w:val="34"/>
    <w:qFormat/>
    <w:rsid w:val="005D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stomerexperience@j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08380723966419389FC1EEBECB666" ma:contentTypeVersion="18" ma:contentTypeDescription="Create a new document." ma:contentTypeScope="" ma:versionID="491fe9d14a9aeb85d9d6717e240cfa4b">
  <xsd:schema xmlns:xsd="http://www.w3.org/2001/XMLSchema" xmlns:xs="http://www.w3.org/2001/XMLSchema" xmlns:p="http://schemas.microsoft.com/office/2006/metadata/properties" xmlns:ns2="e2caf052-7b47-4a4f-b61d-f511f95cbf9f" xmlns:ns3="75b84367-f659-4e64-9907-c71afe125fcc" targetNamespace="http://schemas.microsoft.com/office/2006/metadata/properties" ma:root="true" ma:fieldsID="743357296227686fddaa761fe1687cd7" ns2:_="" ns3:_="">
    <xsd:import namespace="e2caf052-7b47-4a4f-b61d-f511f95cbf9f"/>
    <xsd:import namespace="75b84367-f659-4e64-9907-c71afe1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f052-7b47-4a4f-b61d-f511f95cb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8a0f-bd80-49e4-aef9-af8fe166b82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4367-f659-4e64-9907-c71afe125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6dadb-b635-4675-a302-9afe1ea87894}" ma:internalName="TaxCatchAll" ma:showField="CatchAllData" ma:web="75b84367-f659-4e64-9907-c71afe1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b84367-f659-4e64-9907-c71afe125fcc" xsi:nil="true"/>
    <lcf76f155ced4ddcb4097134ff3c332f xmlns="e2caf052-7b47-4a4f-b61d-f511f95cbf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AA412-0DCF-4E02-8677-759C43B3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f052-7b47-4a4f-b61d-f511f95cbf9f"/>
    <ds:schemaRef ds:uri="75b84367-f659-4e64-9907-c71afe1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02211-A0B2-4A5D-AAC3-8795B5C27290}">
  <ds:schemaRefs>
    <ds:schemaRef ds:uri="http://schemas.microsoft.com/office/2006/metadata/properties"/>
    <ds:schemaRef ds:uri="http://schemas.microsoft.com/office/infopath/2007/PartnerControls"/>
    <ds:schemaRef ds:uri="75b84367-f659-4e64-9907-c71afe125fcc"/>
    <ds:schemaRef ds:uri="e2caf052-7b47-4a4f-b61d-f511f95cbf9f"/>
  </ds:schemaRefs>
</ds:datastoreItem>
</file>

<file path=customXml/itemProps3.xml><?xml version="1.0" encoding="utf-8"?>
<ds:datastoreItem xmlns:ds="http://schemas.openxmlformats.org/officeDocument/2006/customXml" ds:itemID="{8410E8D9-6D7A-4EE0-B657-C97486C98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843</Words>
  <Characters>4807</Characters>
  <Application>Microsoft Office Word</Application>
  <DocSecurity>0</DocSecurity>
  <Lines>40</Lines>
  <Paragraphs>11</Paragraphs>
  <ScaleCrop>false</ScaleCrop>
  <Company>Local Government and Social Care Ombudsman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Powell</dc:creator>
  <cp:keywords/>
  <dc:description/>
  <cp:lastModifiedBy>Agnes Voros</cp:lastModifiedBy>
  <cp:revision>73</cp:revision>
  <cp:lastPrinted>2024-06-18T12:00:00Z</cp:lastPrinted>
  <dcterms:created xsi:type="dcterms:W3CDTF">2024-05-01T13:40:00Z</dcterms:created>
  <dcterms:modified xsi:type="dcterms:W3CDTF">2024-06-18T12:51:00Z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0x010100ECB08380723966419389FC1EEBECB666</vt:lpwstr>
  </property>
  <property fmtid="{D5CDD505-2E9C-101B-9397-08002B2CF9AE}" pid="3" name="MediaServiceImageTags">
    <vt:lpwstr/>
  </property>
</Properties>
</file>