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95D4" w14:textId="765B011F" w:rsidR="00B67330" w:rsidRDefault="0094279F" w:rsidP="002258B1">
      <w:pPr>
        <w:pStyle w:val="Heading1"/>
      </w:pPr>
      <w:r>
        <w:t>Implementation Statement</w:t>
      </w:r>
      <w:r w:rsidR="009513A5">
        <w:t xml:space="preserve"> – </w:t>
      </w:r>
      <w:r w:rsidR="00B67330" w:rsidRPr="00B67330">
        <w:t>Jewish Care Pension Scheme</w:t>
      </w:r>
    </w:p>
    <w:p w14:paraId="5F22AA48" w14:textId="5761B834" w:rsidR="00AA15E6" w:rsidRPr="00AA15E6" w:rsidRDefault="00AA15E6" w:rsidP="00AA15E6">
      <w:pPr>
        <w:pStyle w:val="Heading2"/>
        <w:jc w:val="both"/>
      </w:pPr>
      <w:r w:rsidRPr="00AA15E6">
        <w:t>Purpose of this statement</w:t>
      </w:r>
    </w:p>
    <w:p w14:paraId="42286AC0" w14:textId="75A09E24" w:rsidR="00B67330" w:rsidRPr="00D562FC" w:rsidRDefault="00B67330" w:rsidP="00B67330">
      <w:pPr>
        <w:pStyle w:val="BodyText"/>
      </w:pPr>
      <w:r w:rsidRPr="00D562FC">
        <w:t xml:space="preserve">This Implementation Statement </w:t>
      </w:r>
      <w:r>
        <w:t xml:space="preserve">has been </w:t>
      </w:r>
      <w:r w:rsidRPr="00D562FC">
        <w:t>prepared by the Trustee</w:t>
      </w:r>
      <w:r>
        <w:t xml:space="preserve"> </w:t>
      </w:r>
      <w:r w:rsidRPr="00D562FC">
        <w:t xml:space="preserve">of the </w:t>
      </w:r>
      <w:r>
        <w:t>Jewish Care Pension Scheme</w:t>
      </w:r>
      <w:r w:rsidRPr="00D562FC">
        <w:t xml:space="preserve"> (“the </w:t>
      </w:r>
      <w:r>
        <w:t>Scheme</w:t>
      </w:r>
      <w:r w:rsidRPr="00D562FC">
        <w:t>”)</w:t>
      </w:r>
      <w:r>
        <w:t xml:space="preserve"> to set out the following information over the year to 31 March 2023</w:t>
      </w:r>
      <w:r w:rsidRPr="00D562FC">
        <w:t>:</w:t>
      </w:r>
    </w:p>
    <w:p w14:paraId="2394244A" w14:textId="77777777" w:rsidR="00B67330" w:rsidRPr="00D562FC" w:rsidRDefault="00B67330" w:rsidP="00B67330">
      <w:pPr>
        <w:pStyle w:val="BodyText"/>
        <w:numPr>
          <w:ilvl w:val="0"/>
          <w:numId w:val="28"/>
        </w:numPr>
      </w:pPr>
      <w:r w:rsidRPr="00D562FC">
        <w:t>How the Trustee</w:t>
      </w:r>
      <w:r>
        <w:t>’s</w:t>
      </w:r>
      <w:r w:rsidRPr="00D562FC">
        <w:t xml:space="preserve"> policies on exercising rights (including voting rights) and engagement </w:t>
      </w:r>
      <w:r w:rsidRPr="007451A8">
        <w:t xml:space="preserve">activities </w:t>
      </w:r>
      <w:r w:rsidRPr="00D562FC">
        <w:t xml:space="preserve">have been followed over the year. </w:t>
      </w:r>
    </w:p>
    <w:p w14:paraId="0540EAE0" w14:textId="7B0E9165" w:rsidR="00B67330" w:rsidRDefault="00B67330" w:rsidP="00B67330">
      <w:pPr>
        <w:pStyle w:val="List"/>
        <w:numPr>
          <w:ilvl w:val="0"/>
          <w:numId w:val="28"/>
        </w:numPr>
        <w:jc w:val="both"/>
      </w:pPr>
      <w:r>
        <w:rPr>
          <w:lang w:bidi="en-US"/>
        </w:rPr>
        <w:t>T</w:t>
      </w:r>
      <w:r w:rsidRPr="00ED6CE8">
        <w:rPr>
          <w:lang w:bidi="en-US"/>
        </w:rPr>
        <w:t xml:space="preserve">he voting </w:t>
      </w:r>
      <w:r>
        <w:rPr>
          <w:lang w:bidi="en-US"/>
        </w:rPr>
        <w:t xml:space="preserve">activity undertaken by the Scheme’s </w:t>
      </w:r>
      <w:r w:rsidR="00517886">
        <w:rPr>
          <w:lang w:bidi="en-US"/>
        </w:rPr>
        <w:t xml:space="preserve">fund </w:t>
      </w:r>
      <w:r>
        <w:rPr>
          <w:lang w:bidi="en-US"/>
        </w:rPr>
        <w:t xml:space="preserve">managers </w:t>
      </w:r>
      <w:r w:rsidRPr="00ED6CE8">
        <w:rPr>
          <w:lang w:bidi="en-US"/>
        </w:rPr>
        <w:t xml:space="preserve">on behalf </w:t>
      </w:r>
      <w:r>
        <w:rPr>
          <w:lang w:bidi="en-US"/>
        </w:rPr>
        <w:t xml:space="preserve">of the Trustee </w:t>
      </w:r>
      <w:r w:rsidRPr="00ED6CE8">
        <w:rPr>
          <w:lang w:bidi="en-US"/>
        </w:rPr>
        <w:t xml:space="preserve">over the year, including </w:t>
      </w:r>
      <w:r>
        <w:rPr>
          <w:lang w:bidi="en-US"/>
        </w:rPr>
        <w:t xml:space="preserve">information regarding </w:t>
      </w:r>
      <w:r w:rsidRPr="00ED6CE8">
        <w:rPr>
          <w:lang w:bidi="en-US"/>
        </w:rPr>
        <w:t>the most significant votes</w:t>
      </w:r>
      <w:r>
        <w:rPr>
          <w:lang w:bidi="en-US"/>
        </w:rPr>
        <w:t>.</w:t>
      </w:r>
    </w:p>
    <w:p w14:paraId="1D2509C2" w14:textId="77777777" w:rsidR="00CC20A5" w:rsidRDefault="00CC20A5" w:rsidP="00CC20A5">
      <w:pPr>
        <w:pStyle w:val="Heading2"/>
        <w:jc w:val="both"/>
      </w:pPr>
      <w:r>
        <w:t xml:space="preserve">Stewardship </w:t>
      </w:r>
      <w:r w:rsidRPr="00623BB3">
        <w:t>polic</w:t>
      </w:r>
      <w:r>
        <w:t>y</w:t>
      </w:r>
      <w:r w:rsidRPr="00623BB3">
        <w:t xml:space="preserve"> </w:t>
      </w:r>
    </w:p>
    <w:p w14:paraId="4135AFDE" w14:textId="78ECD86F" w:rsidR="00FD41F5" w:rsidRDefault="00FD41F5" w:rsidP="00FD41F5">
      <w:pPr>
        <w:pStyle w:val="BodyText"/>
      </w:pPr>
      <w:r w:rsidRPr="00DF0273">
        <w:t xml:space="preserve">At this time, the Trustee has not set stewardship priorities / themes for the </w:t>
      </w:r>
      <w:r w:rsidR="00914168">
        <w:t>S</w:t>
      </w:r>
      <w:r w:rsidR="00914168" w:rsidRPr="00DF0273">
        <w:t>cheme but</w:t>
      </w:r>
      <w:r w:rsidRPr="00DF0273">
        <w:t xml:space="preserve"> will be considering </w:t>
      </w:r>
      <w:r>
        <w:t xml:space="preserve">the extent </w:t>
      </w:r>
      <w:r w:rsidR="0080341A">
        <w:t xml:space="preserve">to which it </w:t>
      </w:r>
      <w:r>
        <w:t>wish</w:t>
      </w:r>
      <w:r w:rsidR="0080341A">
        <w:t>es</w:t>
      </w:r>
      <w:r>
        <w:t xml:space="preserve"> to do </w:t>
      </w:r>
      <w:r w:rsidRPr="00DF0273">
        <w:t xml:space="preserve">this </w:t>
      </w:r>
      <w:r>
        <w:t>in due course, in line with other Scheme risks</w:t>
      </w:r>
      <w:r w:rsidRPr="00DF0273">
        <w:t xml:space="preserve">. </w:t>
      </w:r>
    </w:p>
    <w:p w14:paraId="266CECE3" w14:textId="6256E88D" w:rsidR="00F93D57" w:rsidRDefault="00F93D57" w:rsidP="00F93D57">
      <w:pPr>
        <w:pStyle w:val="Heading2"/>
      </w:pPr>
      <w:r>
        <w:t>How voting and engagement</w:t>
      </w:r>
      <w:r w:rsidR="00C60A83">
        <w:t>/stewardship</w:t>
      </w:r>
      <w:r>
        <w:t xml:space="preserve"> policies have been followed</w:t>
      </w:r>
    </w:p>
    <w:p w14:paraId="45D5E089" w14:textId="38995E1F" w:rsidR="00B67330" w:rsidRDefault="00B67330" w:rsidP="00B67330">
      <w:pPr>
        <w:pStyle w:val="BodyText"/>
      </w:pPr>
      <w:r w:rsidRPr="006520A2">
        <w:t>The Scheme invests entirely in pooled funds and</w:t>
      </w:r>
      <w:r>
        <w:t>,</w:t>
      </w:r>
      <w:r w:rsidRPr="006520A2">
        <w:t xml:space="preserve"> as such</w:t>
      </w:r>
      <w:r>
        <w:t>,</w:t>
      </w:r>
      <w:r w:rsidRPr="006520A2">
        <w:t xml:space="preserve"> delegates responsibility for carrying out voting and engagement activities to the Scheme’s fund managers. </w:t>
      </w:r>
      <w:r>
        <w:t>T</w:t>
      </w:r>
      <w:r w:rsidRPr="00030696">
        <w:t xml:space="preserve">he Trustee cannot usually directly influence the managers’ policies on the exercise of investment rights where the Trustee holds assets in pooled funds. This is due to the </w:t>
      </w:r>
      <w:r>
        <w:t xml:space="preserve">pooled </w:t>
      </w:r>
      <w:r w:rsidRPr="00030696">
        <w:t>nature of these investments.</w:t>
      </w:r>
      <w:r>
        <w:t xml:space="preserve">  </w:t>
      </w:r>
      <w:r w:rsidR="004D3364">
        <w:t>State Street, the Scheme’s equity manager</w:t>
      </w:r>
      <w:r w:rsidR="0080341A">
        <w:t>,</w:t>
      </w:r>
      <w:r w:rsidR="004D3364">
        <w:t xml:space="preserve"> does now offer the ability for pension scheme investors to choose a </w:t>
      </w:r>
      <w:proofErr w:type="gramStart"/>
      <w:r w:rsidR="004D3364">
        <w:t>third part</w:t>
      </w:r>
      <w:r w:rsidR="0080341A">
        <w:t>y</w:t>
      </w:r>
      <w:proofErr w:type="gramEnd"/>
      <w:r w:rsidR="004D3364">
        <w:t xml:space="preserve"> voting policy from a certain range – at present the Trustee has not chosen to do this but may consider this in the future.</w:t>
      </w:r>
    </w:p>
    <w:p w14:paraId="7167C43D" w14:textId="73618AE9" w:rsidR="004D3364" w:rsidRPr="006520A2" w:rsidRDefault="004D3364" w:rsidP="004D3364">
      <w:pPr>
        <w:pStyle w:val="BodyText"/>
      </w:pPr>
      <w:r>
        <w:t>The Trustee</w:t>
      </w:r>
      <w:r w:rsidR="0080341A">
        <w:t xml:space="preserve"> </w:t>
      </w:r>
      <w:r>
        <w:t>require</w:t>
      </w:r>
      <w:r w:rsidR="0080341A">
        <w:t>s</w:t>
      </w:r>
      <w:r>
        <w:t xml:space="preserve"> that </w:t>
      </w:r>
      <w:r w:rsidR="0080341A">
        <w:t xml:space="preserve">its </w:t>
      </w:r>
      <w:r>
        <w:t xml:space="preserve">fund managers </w:t>
      </w:r>
      <w:proofErr w:type="gramStart"/>
      <w:r>
        <w:t>take into account</w:t>
      </w:r>
      <w:proofErr w:type="gramEnd"/>
      <w:r>
        <w:t xml:space="preserve"> ESG considerations by engaging with companies and by exercising voting rights. However, the exercise of rights and engagement activities should be consistent with, and proportionate to, the rest of the investment process.</w:t>
      </w:r>
      <w:r w:rsidRPr="004D3364">
        <w:t xml:space="preserve"> </w:t>
      </w:r>
      <w:r>
        <w:t xml:space="preserve">The Trustee will also consider the </w:t>
      </w:r>
      <w:r w:rsidR="00517886">
        <w:t xml:space="preserve">fund </w:t>
      </w:r>
      <w:r>
        <w:t xml:space="preserve">managers’ policies on stewardship and engagement when selecting and reviewing </w:t>
      </w:r>
      <w:r w:rsidR="00517886">
        <w:t xml:space="preserve">fund </w:t>
      </w:r>
      <w:r>
        <w:t>managers.</w:t>
      </w:r>
    </w:p>
    <w:p w14:paraId="3913BC24" w14:textId="48123121" w:rsidR="00B67330" w:rsidRDefault="00B67330" w:rsidP="00B67330">
      <w:pPr>
        <w:pStyle w:val="BodyText"/>
      </w:pPr>
      <w:r>
        <w:t>The Trustee reviewed</w:t>
      </w:r>
      <w:r w:rsidRPr="00B752B6">
        <w:t xml:space="preserve"> the fund managers’ strategies and processes for exercising rights and conducting engagement activities </w:t>
      </w:r>
      <w:r>
        <w:t>as part of</w:t>
      </w:r>
      <w:r w:rsidRPr="00B752B6">
        <w:t xml:space="preserve"> the preparation of th</w:t>
      </w:r>
      <w:r>
        <w:t>is</w:t>
      </w:r>
      <w:r w:rsidRPr="00B752B6">
        <w:t xml:space="preserve"> </w:t>
      </w:r>
      <w:r>
        <w:t xml:space="preserve">annual </w:t>
      </w:r>
      <w:r w:rsidRPr="00B752B6">
        <w:t>Implementation Statement</w:t>
      </w:r>
      <w:r>
        <w:t xml:space="preserve">. </w:t>
      </w:r>
      <w:r w:rsidRPr="00B752B6">
        <w:t>Having reviewed the above</w:t>
      </w:r>
      <w:r w:rsidR="004D3364">
        <w:t xml:space="preserve"> (and the information in this Statement)</w:t>
      </w:r>
      <w:r w:rsidRPr="00B752B6">
        <w:t xml:space="preserve"> in accordance with </w:t>
      </w:r>
      <w:r w:rsidR="0080341A">
        <w:t xml:space="preserve">its </w:t>
      </w:r>
      <w:r w:rsidRPr="00B752B6">
        <w:t xml:space="preserve">policies, the Trustee </w:t>
      </w:r>
      <w:r>
        <w:t>is</w:t>
      </w:r>
      <w:r w:rsidRPr="00B752B6">
        <w:t xml:space="preserve"> comfortable </w:t>
      </w:r>
      <w:r>
        <w:t xml:space="preserve">that </w:t>
      </w:r>
      <w:r w:rsidRPr="00B752B6">
        <w:t xml:space="preserve">the actions of the fund managers are in alignment with the </w:t>
      </w:r>
      <w:r w:rsidR="0080341A">
        <w:t>Scheme</w:t>
      </w:r>
      <w:r w:rsidRPr="00B752B6">
        <w:t xml:space="preserve">’s stewardship policies. </w:t>
      </w:r>
      <w:r>
        <w:t>However, the</w:t>
      </w:r>
      <w:r w:rsidR="0080341A">
        <w:t xml:space="preserve"> Trustee</w:t>
      </w:r>
      <w:r>
        <w:t xml:space="preserve"> will</w:t>
      </w:r>
      <w:r w:rsidRPr="00B752B6">
        <w:t xml:space="preserve"> engage with the investment managers to the extent that any issues or questions are identified</w:t>
      </w:r>
      <w:r>
        <w:t xml:space="preserve"> in future</w:t>
      </w:r>
      <w:r w:rsidRPr="00B752B6">
        <w:t>.</w:t>
      </w:r>
      <w:r w:rsidR="00B96F92" w:rsidRPr="00B96F92">
        <w:t xml:space="preserve"> There were no changes in </w:t>
      </w:r>
      <w:r w:rsidR="0080341A">
        <w:t xml:space="preserve">the </w:t>
      </w:r>
      <w:r w:rsidR="00B96F92" w:rsidRPr="00B96F92">
        <w:t>fund managers the Scheme employed over the year.</w:t>
      </w:r>
    </w:p>
    <w:p w14:paraId="55A304D8" w14:textId="3F56FEA9" w:rsidR="00B67330" w:rsidRDefault="00B67330" w:rsidP="00B67330">
      <w:pPr>
        <w:pStyle w:val="BodyText"/>
        <w:spacing w:after="0"/>
      </w:pPr>
      <w:r w:rsidRPr="006D10C8">
        <w:rPr>
          <w:lang w:eastAsia="en-GB"/>
        </w:rPr>
        <w:t>The Trustee expect</w:t>
      </w:r>
      <w:r w:rsidRPr="00A72A9E">
        <w:rPr>
          <w:lang w:eastAsia="en-GB"/>
        </w:rPr>
        <w:t>s</w:t>
      </w:r>
      <w:r w:rsidRPr="006D10C8">
        <w:rPr>
          <w:lang w:eastAsia="en-GB"/>
        </w:rPr>
        <w:t xml:space="preserve"> all </w:t>
      </w:r>
      <w:r w:rsidR="00517886">
        <w:rPr>
          <w:lang w:eastAsia="en-GB"/>
        </w:rPr>
        <w:t xml:space="preserve">its fund </w:t>
      </w:r>
      <w:r w:rsidRPr="006D10C8">
        <w:rPr>
          <w:lang w:eastAsia="en-GB"/>
        </w:rPr>
        <w:t xml:space="preserve">managers to have a </w:t>
      </w:r>
      <w:proofErr w:type="gramStart"/>
      <w:r w:rsidRPr="006D10C8">
        <w:rPr>
          <w:lang w:eastAsia="en-GB"/>
        </w:rPr>
        <w:t>conflict of interest</w:t>
      </w:r>
      <w:proofErr w:type="gramEnd"/>
      <w:r w:rsidRPr="006D10C8">
        <w:rPr>
          <w:lang w:eastAsia="en-GB"/>
        </w:rPr>
        <w:t xml:space="preserve"> policy in relation to their engagement and ongoing operations. In doing so the Trustee believe</w:t>
      </w:r>
      <w:r>
        <w:rPr>
          <w:lang w:eastAsia="en-GB"/>
        </w:rPr>
        <w:t>s</w:t>
      </w:r>
      <w:r w:rsidRPr="006D10C8">
        <w:rPr>
          <w:lang w:eastAsia="en-GB"/>
        </w:rPr>
        <w:t xml:space="preserve"> </w:t>
      </w:r>
      <w:r w:rsidR="00517886">
        <w:rPr>
          <w:lang w:eastAsia="en-GB"/>
        </w:rPr>
        <w:t>that it has</w:t>
      </w:r>
      <w:r w:rsidRPr="006D10C8">
        <w:rPr>
          <w:lang w:eastAsia="en-GB"/>
        </w:rPr>
        <w:t xml:space="preserve"> managed the potential for conflicts of interest in the appointment of the </w:t>
      </w:r>
      <w:r w:rsidR="00517886">
        <w:rPr>
          <w:lang w:eastAsia="en-GB"/>
        </w:rPr>
        <w:t xml:space="preserve">fund </w:t>
      </w:r>
      <w:r w:rsidRPr="006D10C8">
        <w:rPr>
          <w:lang w:eastAsia="en-GB"/>
        </w:rPr>
        <w:t>manager</w:t>
      </w:r>
      <w:r w:rsidR="00517886">
        <w:rPr>
          <w:lang w:eastAsia="en-GB"/>
        </w:rPr>
        <w:t>s</w:t>
      </w:r>
      <w:r w:rsidRPr="006D10C8">
        <w:rPr>
          <w:lang w:eastAsia="en-GB"/>
        </w:rPr>
        <w:t xml:space="preserve"> and conflicts of interest between the Trustee/</w:t>
      </w:r>
      <w:r w:rsidR="00517886">
        <w:rPr>
          <w:lang w:eastAsia="en-GB"/>
        </w:rPr>
        <w:t>fund</w:t>
      </w:r>
      <w:r w:rsidR="00517886" w:rsidRPr="006D10C8">
        <w:rPr>
          <w:lang w:eastAsia="en-GB"/>
        </w:rPr>
        <w:t xml:space="preserve"> </w:t>
      </w:r>
      <w:r w:rsidRPr="006D10C8">
        <w:rPr>
          <w:lang w:eastAsia="en-GB"/>
        </w:rPr>
        <w:t>manager and the investee companies.</w:t>
      </w:r>
      <w:r w:rsidR="009513A5">
        <w:rPr>
          <w:lang w:eastAsia="en-GB"/>
        </w:rPr>
        <w:t xml:space="preserve"> </w:t>
      </w:r>
      <w:r>
        <w:t xml:space="preserve">Additional information on the voting and engagement activities carried out for the </w:t>
      </w:r>
      <w:r w:rsidR="00517886">
        <w:t xml:space="preserve">Scheme’s </w:t>
      </w:r>
      <w:r>
        <w:t>investments are provided on the following pages.</w:t>
      </w:r>
    </w:p>
    <w:p w14:paraId="69FDB91E" w14:textId="77777777" w:rsidR="00B67330" w:rsidRDefault="00B67330" w:rsidP="00B67330">
      <w:pPr>
        <w:pStyle w:val="Heading3"/>
        <w:spacing w:before="120"/>
      </w:pPr>
      <w:r>
        <w:t>Data limitations</w:t>
      </w:r>
    </w:p>
    <w:p w14:paraId="406E33E8" w14:textId="17D1E95A" w:rsidR="00074C08" w:rsidRDefault="00B67330" w:rsidP="00B67330">
      <w:pPr>
        <w:pStyle w:val="BodyText"/>
      </w:pPr>
      <w:r w:rsidRPr="007F5AA4">
        <w:t>Where information is not included</w:t>
      </w:r>
      <w:r>
        <w:t xml:space="preserve"> in this statement</w:t>
      </w:r>
      <w:r w:rsidRPr="007F5AA4">
        <w:t xml:space="preserve">, it has been requested but has not been provided in a useable format </w:t>
      </w:r>
      <w:r>
        <w:t>(</w:t>
      </w:r>
      <w:r w:rsidRPr="007F5AA4">
        <w:t>or at all</w:t>
      </w:r>
      <w:r>
        <w:t>)</w:t>
      </w:r>
      <w:r w:rsidRPr="007F5AA4">
        <w:t xml:space="preserve"> by the </w:t>
      </w:r>
      <w:r w:rsidR="00517886">
        <w:t>fund</w:t>
      </w:r>
      <w:r w:rsidR="00517886" w:rsidRPr="007F5AA4">
        <w:t xml:space="preserve"> </w:t>
      </w:r>
      <w:r w:rsidRPr="007F5AA4">
        <w:t xml:space="preserve">manager. </w:t>
      </w:r>
      <w:r>
        <w:t>The Trustee’s</w:t>
      </w:r>
      <w:r w:rsidRPr="007F5AA4">
        <w:t xml:space="preserve"> investment consultants are in discussion with the </w:t>
      </w:r>
      <w:r w:rsidR="00517886">
        <w:t xml:space="preserve">fund </w:t>
      </w:r>
      <w:r w:rsidRPr="007F5AA4">
        <w:t>manager</w:t>
      </w:r>
      <w:r w:rsidR="00517886">
        <w:t xml:space="preserve"> on </w:t>
      </w:r>
      <w:r w:rsidRPr="007F5AA4">
        <w:t xml:space="preserve">how this data </w:t>
      </w:r>
      <w:r>
        <w:t>can be improved</w:t>
      </w:r>
      <w:r w:rsidRPr="007F5AA4">
        <w:t xml:space="preserve"> </w:t>
      </w:r>
      <w:r>
        <w:t>for</w:t>
      </w:r>
      <w:r w:rsidRPr="007F5AA4">
        <w:t xml:space="preserve"> future statements.</w:t>
      </w:r>
    </w:p>
    <w:p w14:paraId="0301284D" w14:textId="77777777" w:rsidR="009D0539" w:rsidRDefault="009D0539" w:rsidP="006520A2">
      <w:pPr>
        <w:pStyle w:val="BodyText"/>
      </w:pPr>
    </w:p>
    <w:p w14:paraId="191E2B06" w14:textId="6AF1EEF2" w:rsidR="00895DFD" w:rsidRPr="005C7F11" w:rsidRDefault="00895DFD" w:rsidP="00895DFD">
      <w:pPr>
        <w:pStyle w:val="BodyText"/>
        <w:spacing w:after="0"/>
        <w:rPr>
          <w:b/>
        </w:rPr>
      </w:pPr>
      <w:r w:rsidRPr="005C7F11">
        <w:rPr>
          <w:b/>
        </w:rPr>
        <w:t xml:space="preserve">Prepared by the Trustee of the </w:t>
      </w:r>
      <w:r w:rsidR="00B67330">
        <w:rPr>
          <w:b/>
        </w:rPr>
        <w:t>Jewish Care Pension Scheme</w:t>
      </w:r>
    </w:p>
    <w:p w14:paraId="356555BB" w14:textId="5DE52033" w:rsidR="00895DFD" w:rsidRPr="005C7F11" w:rsidRDefault="006462EC" w:rsidP="00895DFD">
      <w:pPr>
        <w:pStyle w:val="BodyText"/>
        <w:spacing w:after="0"/>
        <w:rPr>
          <w:b/>
        </w:rPr>
      </w:pPr>
      <w:r>
        <w:rPr>
          <w:b/>
        </w:rPr>
        <w:t>October</w:t>
      </w:r>
      <w:r w:rsidR="00B67330">
        <w:rPr>
          <w:b/>
        </w:rPr>
        <w:t xml:space="preserve"> 2023</w:t>
      </w:r>
    </w:p>
    <w:p w14:paraId="1C254A8A" w14:textId="65D7478A" w:rsidR="009D0539" w:rsidRDefault="009D0539" w:rsidP="00AD2742">
      <w:pPr>
        <w:pStyle w:val="Heading2"/>
      </w:pPr>
      <w:r>
        <w:br w:type="page"/>
      </w:r>
      <w:r>
        <w:lastRenderedPageBreak/>
        <w:t xml:space="preserve">Voting Data </w:t>
      </w:r>
    </w:p>
    <w:p w14:paraId="20C315D4" w14:textId="5E689E2B" w:rsidR="007871B7" w:rsidRDefault="007871B7" w:rsidP="007871B7">
      <w:pPr>
        <w:pStyle w:val="List"/>
        <w:numPr>
          <w:ilvl w:val="0"/>
          <w:numId w:val="0"/>
        </w:numPr>
        <w:jc w:val="both"/>
      </w:pPr>
      <w:r w:rsidRPr="007871B7">
        <w:t xml:space="preserve">This section provides a summary of the voting activity undertaken by the </w:t>
      </w:r>
      <w:r w:rsidR="003D6490">
        <w:t>fund</w:t>
      </w:r>
      <w:r w:rsidR="003D6490" w:rsidRPr="007871B7">
        <w:t xml:space="preserve"> </w:t>
      </w:r>
      <w:r w:rsidRPr="007871B7">
        <w:t xml:space="preserve">managers within the </w:t>
      </w:r>
      <w:r>
        <w:t>Scheme</w:t>
      </w:r>
      <w:r w:rsidRPr="007871B7">
        <w:t xml:space="preserve">’s </w:t>
      </w:r>
      <w:r w:rsidRPr="002A6D82">
        <w:t>Growth</w:t>
      </w:r>
      <w:r w:rsidRPr="007871B7">
        <w:t xml:space="preserve"> Portfolio on behalf of the </w:t>
      </w:r>
      <w:r w:rsidRPr="002A6D82">
        <w:t>Trustee</w:t>
      </w:r>
      <w:r w:rsidRPr="007871B7">
        <w:t xml:space="preserve"> over the year to </w:t>
      </w:r>
      <w:r w:rsidR="002A6D82">
        <w:rPr>
          <w:b/>
          <w:bCs/>
        </w:rPr>
        <w:t>31 March 2023</w:t>
      </w:r>
      <w:r w:rsidRPr="007871B7">
        <w:t xml:space="preserve">.  </w:t>
      </w:r>
      <w:r>
        <w:t>T</w:t>
      </w:r>
      <w:r w:rsidRPr="00AA15E6">
        <w:t xml:space="preserve">he </w:t>
      </w:r>
      <w:r w:rsidR="004D3364">
        <w:rPr>
          <w:b/>
        </w:rPr>
        <w:t>assets held with</w:t>
      </w:r>
      <w:r>
        <w:t xml:space="preserve"> </w:t>
      </w:r>
      <w:r w:rsidR="002A6D82">
        <w:rPr>
          <w:b/>
          <w:bCs/>
        </w:rPr>
        <w:t>Insight Investment Management</w:t>
      </w:r>
      <w:r>
        <w:t xml:space="preserve"> </w:t>
      </w:r>
      <w:r w:rsidRPr="00AA15E6">
        <w:t>ha</w:t>
      </w:r>
      <w:r w:rsidR="002A6D82">
        <w:t>ve</w:t>
      </w:r>
      <w:r w:rsidRPr="00AA15E6">
        <w:t xml:space="preserve"> no voting rights </w:t>
      </w:r>
      <w:r w:rsidR="00B96F92">
        <w:t>attached to them</w:t>
      </w:r>
      <w:r>
        <w:t xml:space="preserve">. </w:t>
      </w:r>
    </w:p>
    <w:tbl>
      <w:tblPr>
        <w:tblStyle w:val="bwTable"/>
        <w:tblW w:w="5000" w:type="pct"/>
        <w:tblLook w:val="04A0" w:firstRow="1" w:lastRow="0" w:firstColumn="1" w:lastColumn="0" w:noHBand="0" w:noVBand="1"/>
      </w:tblPr>
      <w:tblGrid>
        <w:gridCol w:w="5128"/>
        <w:gridCol w:w="4738"/>
      </w:tblGrid>
      <w:tr w:rsidR="002A6D82" w:rsidRPr="007F4127" w14:paraId="71EE1F46" w14:textId="77777777" w:rsidTr="002A6D82">
        <w:trPr>
          <w:cnfStyle w:val="100000000000" w:firstRow="1" w:lastRow="0" w:firstColumn="0" w:lastColumn="0" w:oddVBand="0" w:evenVBand="0" w:oddHBand="0" w:evenHBand="0" w:firstRowFirstColumn="0" w:firstRowLastColumn="0" w:lastRowFirstColumn="0" w:lastRowLastColumn="0"/>
          <w:tblHeader/>
        </w:trPr>
        <w:tc>
          <w:tcPr>
            <w:tcW w:w="2599" w:type="pct"/>
          </w:tcPr>
          <w:p w14:paraId="5DA94555" w14:textId="77777777" w:rsidR="002A6D82" w:rsidRPr="007F4127" w:rsidRDefault="002A6D82" w:rsidP="009D0539">
            <w:pPr>
              <w:pStyle w:val="BodyText"/>
              <w:spacing w:after="0"/>
              <w:jc w:val="left"/>
              <w:rPr>
                <w:b/>
                <w:sz w:val="16"/>
              </w:rPr>
            </w:pPr>
            <w:r w:rsidRPr="007F4127">
              <w:rPr>
                <w:b/>
                <w:sz w:val="16"/>
              </w:rPr>
              <w:t>Manager</w:t>
            </w:r>
          </w:p>
        </w:tc>
        <w:tc>
          <w:tcPr>
            <w:tcW w:w="2401" w:type="pct"/>
          </w:tcPr>
          <w:p w14:paraId="41D5A65F" w14:textId="58B1D02A" w:rsidR="002A6D82" w:rsidRPr="007F4127" w:rsidRDefault="002A6D82" w:rsidP="005414B9">
            <w:pPr>
              <w:pStyle w:val="BodyText"/>
              <w:spacing w:after="0"/>
              <w:jc w:val="center"/>
              <w:rPr>
                <w:b/>
                <w:sz w:val="16"/>
              </w:rPr>
            </w:pPr>
            <w:r>
              <w:rPr>
                <w:b/>
                <w:sz w:val="16"/>
              </w:rPr>
              <w:t>State Street</w:t>
            </w:r>
          </w:p>
        </w:tc>
      </w:tr>
      <w:tr w:rsidR="002A6D82" w:rsidRPr="007F4127" w14:paraId="071C7B33" w14:textId="77777777" w:rsidTr="002A6D82">
        <w:trPr>
          <w:cnfStyle w:val="000000100000" w:firstRow="0" w:lastRow="0" w:firstColumn="0" w:lastColumn="0" w:oddVBand="0" w:evenVBand="0" w:oddHBand="1" w:evenHBand="0" w:firstRowFirstColumn="0" w:firstRowLastColumn="0" w:lastRowFirstColumn="0" w:lastRowLastColumn="0"/>
        </w:trPr>
        <w:tc>
          <w:tcPr>
            <w:tcW w:w="2599" w:type="pct"/>
          </w:tcPr>
          <w:p w14:paraId="5732A608" w14:textId="77777777" w:rsidR="002A6D82" w:rsidRPr="007F4127" w:rsidRDefault="002A6D82" w:rsidP="009D0539">
            <w:pPr>
              <w:pStyle w:val="BodyText"/>
              <w:spacing w:after="0"/>
              <w:jc w:val="left"/>
              <w:rPr>
                <w:b/>
                <w:sz w:val="16"/>
              </w:rPr>
            </w:pPr>
            <w:r w:rsidRPr="007F4127">
              <w:rPr>
                <w:b/>
                <w:sz w:val="16"/>
              </w:rPr>
              <w:t>Fund name</w:t>
            </w:r>
          </w:p>
        </w:tc>
        <w:tc>
          <w:tcPr>
            <w:tcW w:w="2401" w:type="pct"/>
          </w:tcPr>
          <w:p w14:paraId="4D18666F" w14:textId="7FA86580" w:rsidR="002A6D82" w:rsidRPr="007F4127" w:rsidRDefault="002A6D82" w:rsidP="005414B9">
            <w:pPr>
              <w:pStyle w:val="BodyText"/>
              <w:spacing w:after="0"/>
              <w:jc w:val="center"/>
              <w:rPr>
                <w:sz w:val="16"/>
              </w:rPr>
            </w:pPr>
            <w:r>
              <w:rPr>
                <w:sz w:val="16"/>
              </w:rPr>
              <w:t>All World ESG Screened Index Equity Sub-Fund</w:t>
            </w:r>
          </w:p>
        </w:tc>
      </w:tr>
      <w:tr w:rsidR="002A6D82" w:rsidRPr="007F4127" w14:paraId="67760D48" w14:textId="77777777" w:rsidTr="002A6D82">
        <w:trPr>
          <w:cnfStyle w:val="000000010000" w:firstRow="0" w:lastRow="0" w:firstColumn="0" w:lastColumn="0" w:oddVBand="0" w:evenVBand="0" w:oddHBand="0" w:evenHBand="1" w:firstRowFirstColumn="0" w:firstRowLastColumn="0" w:lastRowFirstColumn="0" w:lastRowLastColumn="0"/>
        </w:trPr>
        <w:tc>
          <w:tcPr>
            <w:tcW w:w="2599" w:type="pct"/>
          </w:tcPr>
          <w:p w14:paraId="6AAF013B" w14:textId="77777777" w:rsidR="002A6D82" w:rsidRPr="007F4127" w:rsidRDefault="002A6D82" w:rsidP="009D0539">
            <w:pPr>
              <w:pStyle w:val="BodyText"/>
              <w:spacing w:after="0"/>
              <w:jc w:val="left"/>
              <w:rPr>
                <w:b/>
                <w:sz w:val="16"/>
              </w:rPr>
            </w:pPr>
            <w:r w:rsidRPr="007F4127">
              <w:rPr>
                <w:b/>
                <w:sz w:val="16"/>
              </w:rPr>
              <w:t>Structure</w:t>
            </w:r>
          </w:p>
        </w:tc>
        <w:tc>
          <w:tcPr>
            <w:tcW w:w="2401" w:type="pct"/>
          </w:tcPr>
          <w:p w14:paraId="56CF2CFE" w14:textId="4C2C1FEA" w:rsidR="002A6D82" w:rsidRPr="007F4127" w:rsidRDefault="002A6D82" w:rsidP="005414B9">
            <w:pPr>
              <w:pStyle w:val="BodyText"/>
              <w:spacing w:after="0"/>
              <w:jc w:val="center"/>
              <w:rPr>
                <w:sz w:val="16"/>
              </w:rPr>
            </w:pPr>
            <w:r>
              <w:rPr>
                <w:sz w:val="16"/>
              </w:rPr>
              <w:t>Pooled</w:t>
            </w:r>
          </w:p>
        </w:tc>
      </w:tr>
      <w:tr w:rsidR="002A6D82" w:rsidRPr="007F4127" w14:paraId="4415843F" w14:textId="77777777" w:rsidTr="002A6D82">
        <w:trPr>
          <w:cnfStyle w:val="000000100000" w:firstRow="0" w:lastRow="0" w:firstColumn="0" w:lastColumn="0" w:oddVBand="0" w:evenVBand="0" w:oddHBand="1" w:evenHBand="0" w:firstRowFirstColumn="0" w:firstRowLastColumn="0" w:lastRowFirstColumn="0" w:lastRowLastColumn="0"/>
        </w:trPr>
        <w:tc>
          <w:tcPr>
            <w:tcW w:w="2599" w:type="pct"/>
          </w:tcPr>
          <w:p w14:paraId="36E87B31" w14:textId="23098E8C" w:rsidR="002A6D82" w:rsidRPr="007F4127" w:rsidRDefault="002A6D82" w:rsidP="009D0539">
            <w:pPr>
              <w:pStyle w:val="BodyText"/>
              <w:spacing w:after="0"/>
              <w:jc w:val="left"/>
              <w:rPr>
                <w:b/>
                <w:sz w:val="16"/>
              </w:rPr>
            </w:pPr>
            <w:r w:rsidRPr="007F4127">
              <w:rPr>
                <w:b/>
                <w:sz w:val="16"/>
              </w:rPr>
              <w:t xml:space="preserve">Ability to influence voting behaviour of </w:t>
            </w:r>
            <w:r w:rsidR="003D6490">
              <w:rPr>
                <w:b/>
                <w:sz w:val="16"/>
              </w:rPr>
              <w:t xml:space="preserve">fund </w:t>
            </w:r>
            <w:r w:rsidRPr="007F4127">
              <w:rPr>
                <w:b/>
                <w:sz w:val="16"/>
              </w:rPr>
              <w:t xml:space="preserve">manager </w:t>
            </w:r>
          </w:p>
        </w:tc>
        <w:tc>
          <w:tcPr>
            <w:tcW w:w="2401" w:type="pct"/>
          </w:tcPr>
          <w:p w14:paraId="0FCAE032" w14:textId="684C4C28" w:rsidR="002A6D82" w:rsidRPr="007F4127" w:rsidRDefault="002A6D82" w:rsidP="005414B9">
            <w:pPr>
              <w:pStyle w:val="BodyText"/>
              <w:spacing w:after="0"/>
              <w:jc w:val="center"/>
              <w:rPr>
                <w:sz w:val="16"/>
              </w:rPr>
            </w:pPr>
            <w:r w:rsidRPr="002A6D82">
              <w:rPr>
                <w:sz w:val="16"/>
              </w:rPr>
              <w:t xml:space="preserve">The pooled fund structure means that there is limited scope for the Trustee to influence the </w:t>
            </w:r>
            <w:r w:rsidR="003D6490">
              <w:rPr>
                <w:sz w:val="16"/>
              </w:rPr>
              <w:t xml:space="preserve">fund </w:t>
            </w:r>
            <w:r w:rsidRPr="002A6D82">
              <w:rPr>
                <w:sz w:val="16"/>
              </w:rPr>
              <w:t>manager’s voting behaviour.</w:t>
            </w:r>
          </w:p>
        </w:tc>
      </w:tr>
      <w:tr w:rsidR="002A6D82" w:rsidRPr="007F4127" w14:paraId="1098BB24" w14:textId="77777777" w:rsidTr="002A6D82">
        <w:trPr>
          <w:cnfStyle w:val="000000010000" w:firstRow="0" w:lastRow="0" w:firstColumn="0" w:lastColumn="0" w:oddVBand="0" w:evenVBand="0" w:oddHBand="0" w:evenHBand="1" w:firstRowFirstColumn="0" w:firstRowLastColumn="0" w:lastRowFirstColumn="0" w:lastRowLastColumn="0"/>
        </w:trPr>
        <w:tc>
          <w:tcPr>
            <w:tcW w:w="2599" w:type="pct"/>
          </w:tcPr>
          <w:p w14:paraId="138655BF" w14:textId="4E5EB5B5" w:rsidR="002A6D82" w:rsidRPr="007F4127" w:rsidDel="001D606F" w:rsidRDefault="002A6D82" w:rsidP="0051763C">
            <w:pPr>
              <w:pStyle w:val="BodyText"/>
              <w:spacing w:after="0"/>
              <w:jc w:val="left"/>
              <w:rPr>
                <w:b/>
                <w:sz w:val="16"/>
              </w:rPr>
            </w:pPr>
            <w:r>
              <w:rPr>
                <w:b/>
                <w:sz w:val="16"/>
              </w:rPr>
              <w:t xml:space="preserve">No. of eligible meetings </w:t>
            </w:r>
          </w:p>
        </w:tc>
        <w:tc>
          <w:tcPr>
            <w:tcW w:w="2401" w:type="pct"/>
          </w:tcPr>
          <w:p w14:paraId="23944B64" w14:textId="2A3B4432" w:rsidR="002A6D82" w:rsidRPr="007F4127" w:rsidDel="001D606F" w:rsidRDefault="002A6D82" w:rsidP="007706BD">
            <w:pPr>
              <w:pStyle w:val="BodyText"/>
              <w:spacing w:after="0"/>
              <w:jc w:val="center"/>
              <w:rPr>
                <w:color w:val="FF0000"/>
                <w:sz w:val="16"/>
              </w:rPr>
            </w:pPr>
            <w:r w:rsidRPr="002A6D82">
              <w:rPr>
                <w:color w:val="262626" w:themeColor="text1" w:themeTint="D9"/>
                <w:sz w:val="16"/>
              </w:rPr>
              <w:t>6,333</w:t>
            </w:r>
          </w:p>
        </w:tc>
      </w:tr>
      <w:tr w:rsidR="002A6D82" w:rsidRPr="007F4127" w14:paraId="35222E6E" w14:textId="77777777" w:rsidTr="002A6D82">
        <w:trPr>
          <w:cnfStyle w:val="000000100000" w:firstRow="0" w:lastRow="0" w:firstColumn="0" w:lastColumn="0" w:oddVBand="0" w:evenVBand="0" w:oddHBand="1" w:evenHBand="0" w:firstRowFirstColumn="0" w:firstRowLastColumn="0" w:lastRowFirstColumn="0" w:lastRowLastColumn="0"/>
        </w:trPr>
        <w:tc>
          <w:tcPr>
            <w:tcW w:w="2599" w:type="pct"/>
          </w:tcPr>
          <w:p w14:paraId="67096052" w14:textId="5B65D7A3" w:rsidR="002A6D82" w:rsidRPr="007F4127" w:rsidDel="001D606F" w:rsidRDefault="002A6D82">
            <w:pPr>
              <w:pStyle w:val="BodyText"/>
              <w:spacing w:after="0"/>
              <w:jc w:val="left"/>
              <w:rPr>
                <w:b/>
                <w:sz w:val="16"/>
              </w:rPr>
            </w:pPr>
            <w:r>
              <w:rPr>
                <w:b/>
                <w:sz w:val="16"/>
              </w:rPr>
              <w:t xml:space="preserve">No. of eligible votes </w:t>
            </w:r>
          </w:p>
        </w:tc>
        <w:tc>
          <w:tcPr>
            <w:tcW w:w="2401" w:type="pct"/>
          </w:tcPr>
          <w:p w14:paraId="6DC11C80" w14:textId="3E337CC9" w:rsidR="002A6D82" w:rsidRPr="007F4127" w:rsidDel="001D606F" w:rsidRDefault="002A6D82" w:rsidP="007706BD">
            <w:pPr>
              <w:pStyle w:val="BodyText"/>
              <w:spacing w:after="0"/>
              <w:jc w:val="center"/>
              <w:rPr>
                <w:color w:val="FF0000"/>
                <w:sz w:val="16"/>
              </w:rPr>
            </w:pPr>
            <w:r w:rsidRPr="002A6D82">
              <w:rPr>
                <w:color w:val="262626" w:themeColor="text1" w:themeTint="D9"/>
                <w:sz w:val="16"/>
              </w:rPr>
              <w:t>64,029</w:t>
            </w:r>
          </w:p>
        </w:tc>
      </w:tr>
      <w:tr w:rsidR="002A6D82" w:rsidRPr="007F4127" w14:paraId="3BE18C42" w14:textId="77777777" w:rsidTr="002A6D82">
        <w:trPr>
          <w:cnfStyle w:val="000000010000" w:firstRow="0" w:lastRow="0" w:firstColumn="0" w:lastColumn="0" w:oddVBand="0" w:evenVBand="0" w:oddHBand="0" w:evenHBand="1" w:firstRowFirstColumn="0" w:firstRowLastColumn="0" w:lastRowFirstColumn="0" w:lastRowLastColumn="0"/>
        </w:trPr>
        <w:tc>
          <w:tcPr>
            <w:tcW w:w="2599" w:type="pct"/>
          </w:tcPr>
          <w:p w14:paraId="1DA2B4F3" w14:textId="62B93922" w:rsidR="002A6D82" w:rsidRPr="007F4127" w:rsidRDefault="002A6D82" w:rsidP="001919F9">
            <w:pPr>
              <w:pStyle w:val="BodyText"/>
              <w:spacing w:after="0"/>
              <w:jc w:val="left"/>
              <w:rPr>
                <w:b/>
                <w:sz w:val="16"/>
              </w:rPr>
            </w:pPr>
            <w:r>
              <w:rPr>
                <w:b/>
                <w:sz w:val="16"/>
              </w:rPr>
              <w:t xml:space="preserve">% of resolutions voted </w:t>
            </w:r>
          </w:p>
        </w:tc>
        <w:tc>
          <w:tcPr>
            <w:tcW w:w="2401" w:type="pct"/>
          </w:tcPr>
          <w:p w14:paraId="06049C5B" w14:textId="1034D58A" w:rsidR="002A6D82" w:rsidRPr="007F4127" w:rsidRDefault="002A6D82" w:rsidP="007706BD">
            <w:pPr>
              <w:pStyle w:val="BodyText"/>
              <w:spacing w:after="0"/>
              <w:jc w:val="center"/>
              <w:rPr>
                <w:sz w:val="16"/>
              </w:rPr>
            </w:pPr>
            <w:r>
              <w:rPr>
                <w:sz w:val="16"/>
              </w:rPr>
              <w:t>98.2%</w:t>
            </w:r>
          </w:p>
        </w:tc>
      </w:tr>
      <w:tr w:rsidR="002A6D82" w:rsidRPr="007F4127" w14:paraId="7973232C" w14:textId="77777777" w:rsidTr="002A6D82">
        <w:trPr>
          <w:cnfStyle w:val="000000100000" w:firstRow="0" w:lastRow="0" w:firstColumn="0" w:lastColumn="0" w:oddVBand="0" w:evenVBand="0" w:oddHBand="1" w:evenHBand="0" w:firstRowFirstColumn="0" w:firstRowLastColumn="0" w:lastRowFirstColumn="0" w:lastRowLastColumn="0"/>
        </w:trPr>
        <w:tc>
          <w:tcPr>
            <w:tcW w:w="2599" w:type="pct"/>
          </w:tcPr>
          <w:p w14:paraId="56CE9877" w14:textId="4BBE8CD7" w:rsidR="002A6D82" w:rsidRPr="007F4127" w:rsidRDefault="002A6D82" w:rsidP="001919F9">
            <w:pPr>
              <w:pStyle w:val="BodyText"/>
              <w:spacing w:after="0"/>
              <w:jc w:val="left"/>
              <w:rPr>
                <w:b/>
                <w:sz w:val="16"/>
              </w:rPr>
            </w:pPr>
            <w:r w:rsidRPr="00011645">
              <w:rPr>
                <w:b/>
                <w:sz w:val="16"/>
              </w:rPr>
              <w:t xml:space="preserve">% of resolutions </w:t>
            </w:r>
            <w:r>
              <w:rPr>
                <w:b/>
                <w:sz w:val="16"/>
              </w:rPr>
              <w:t>abstained</w:t>
            </w:r>
            <w:r w:rsidRPr="00011645">
              <w:rPr>
                <w:b/>
                <w:sz w:val="16"/>
              </w:rPr>
              <w:t xml:space="preserve"> </w:t>
            </w:r>
          </w:p>
        </w:tc>
        <w:tc>
          <w:tcPr>
            <w:tcW w:w="2401" w:type="pct"/>
          </w:tcPr>
          <w:p w14:paraId="4EBBFAED" w14:textId="4A05A084" w:rsidR="002A6D82" w:rsidRPr="007F4127" w:rsidRDefault="002A6D82" w:rsidP="007706BD">
            <w:pPr>
              <w:pStyle w:val="BodyText"/>
              <w:spacing w:after="0"/>
              <w:jc w:val="center"/>
              <w:rPr>
                <w:sz w:val="16"/>
              </w:rPr>
            </w:pPr>
            <w:r>
              <w:rPr>
                <w:sz w:val="16"/>
              </w:rPr>
              <w:t>1.5%</w:t>
            </w:r>
          </w:p>
        </w:tc>
      </w:tr>
      <w:tr w:rsidR="002A6D82" w:rsidRPr="007F4127" w14:paraId="2CECF97A" w14:textId="77777777" w:rsidTr="002A6D82">
        <w:trPr>
          <w:cnfStyle w:val="000000010000" w:firstRow="0" w:lastRow="0" w:firstColumn="0" w:lastColumn="0" w:oddVBand="0" w:evenVBand="0" w:oddHBand="0" w:evenHBand="1" w:firstRowFirstColumn="0" w:firstRowLastColumn="0" w:lastRowFirstColumn="0" w:lastRowLastColumn="0"/>
        </w:trPr>
        <w:tc>
          <w:tcPr>
            <w:tcW w:w="2599" w:type="pct"/>
          </w:tcPr>
          <w:p w14:paraId="05285BC4" w14:textId="6DAA5209" w:rsidR="002A6D82" w:rsidDel="001D606F" w:rsidRDefault="002A6D82" w:rsidP="001919F9">
            <w:pPr>
              <w:pStyle w:val="BodyText"/>
              <w:spacing w:after="0"/>
              <w:jc w:val="left"/>
              <w:rPr>
                <w:b/>
                <w:sz w:val="16"/>
              </w:rPr>
            </w:pPr>
            <w:r w:rsidRPr="00011645">
              <w:rPr>
                <w:b/>
                <w:sz w:val="16"/>
              </w:rPr>
              <w:t xml:space="preserve">% of resolutions </w:t>
            </w:r>
            <w:r>
              <w:rPr>
                <w:b/>
                <w:sz w:val="16"/>
              </w:rPr>
              <w:t>voted with management</w:t>
            </w:r>
            <w:bookmarkStart w:id="0" w:name="_Ref103864060"/>
            <w:r w:rsidRPr="00915548">
              <w:rPr>
                <w:rStyle w:val="FootnoteReference"/>
                <w:bCs/>
                <w:sz w:val="16"/>
              </w:rPr>
              <w:footnoteReference w:customMarkFollows="1" w:id="1"/>
              <w:sym w:font="Symbol" w:char="F031"/>
            </w:r>
            <w:bookmarkEnd w:id="0"/>
          </w:p>
        </w:tc>
        <w:tc>
          <w:tcPr>
            <w:tcW w:w="2401" w:type="pct"/>
          </w:tcPr>
          <w:p w14:paraId="78552DD0" w14:textId="57BBB655" w:rsidR="002A6D82" w:rsidRPr="007F4127" w:rsidDel="001D606F" w:rsidRDefault="002A6D82" w:rsidP="007706BD">
            <w:pPr>
              <w:pStyle w:val="BodyText"/>
              <w:spacing w:after="0"/>
              <w:jc w:val="center"/>
              <w:rPr>
                <w:color w:val="FF0000"/>
                <w:sz w:val="16"/>
              </w:rPr>
            </w:pPr>
            <w:r w:rsidRPr="002A6D82">
              <w:rPr>
                <w:sz w:val="16"/>
              </w:rPr>
              <w:t>85.9%</w:t>
            </w:r>
          </w:p>
        </w:tc>
      </w:tr>
      <w:tr w:rsidR="002A6D82" w:rsidRPr="007F4127" w14:paraId="773B6797" w14:textId="77777777" w:rsidTr="002A6D82">
        <w:trPr>
          <w:cnfStyle w:val="000000100000" w:firstRow="0" w:lastRow="0" w:firstColumn="0" w:lastColumn="0" w:oddVBand="0" w:evenVBand="0" w:oddHBand="1" w:evenHBand="0" w:firstRowFirstColumn="0" w:firstRowLastColumn="0" w:lastRowFirstColumn="0" w:lastRowLastColumn="0"/>
        </w:trPr>
        <w:tc>
          <w:tcPr>
            <w:tcW w:w="2599" w:type="pct"/>
          </w:tcPr>
          <w:p w14:paraId="551B1F20" w14:textId="77F2C756" w:rsidR="002A6D82" w:rsidRPr="007F4127" w:rsidRDefault="002A6D82" w:rsidP="001919F9">
            <w:pPr>
              <w:pStyle w:val="BodyText"/>
              <w:spacing w:after="0"/>
              <w:jc w:val="left"/>
              <w:rPr>
                <w:b/>
                <w:sz w:val="16"/>
              </w:rPr>
            </w:pPr>
            <w:r w:rsidRPr="00011645">
              <w:rPr>
                <w:b/>
                <w:sz w:val="16"/>
              </w:rPr>
              <w:t xml:space="preserve">% of resolutions voted </w:t>
            </w:r>
            <w:r>
              <w:rPr>
                <w:b/>
                <w:sz w:val="16"/>
              </w:rPr>
              <w:t xml:space="preserve">against </w:t>
            </w:r>
            <w:r w:rsidRPr="00011645">
              <w:rPr>
                <w:b/>
                <w:sz w:val="16"/>
              </w:rPr>
              <w:t>management</w:t>
            </w:r>
            <w:r>
              <w:rPr>
                <w:b/>
                <w:sz w:val="16"/>
              </w:rPr>
              <w:fldChar w:fldCharType="begin"/>
            </w:r>
            <w:r>
              <w:rPr>
                <w:b/>
                <w:sz w:val="16"/>
              </w:rPr>
              <w:instrText xml:space="preserve"> NOTEREF _Ref103864060 \f \h </w:instrText>
            </w:r>
            <w:r>
              <w:rPr>
                <w:b/>
                <w:sz w:val="16"/>
              </w:rPr>
            </w:r>
            <w:r>
              <w:rPr>
                <w:b/>
                <w:sz w:val="16"/>
              </w:rPr>
              <w:fldChar w:fldCharType="separate"/>
            </w:r>
            <w:r w:rsidRPr="00915548">
              <w:rPr>
                <w:rStyle w:val="FootnoteReference"/>
              </w:rPr>
              <w:sym w:font="Symbol" w:char="F031"/>
            </w:r>
            <w:r>
              <w:rPr>
                <w:b/>
                <w:sz w:val="16"/>
              </w:rPr>
              <w:fldChar w:fldCharType="end"/>
            </w:r>
            <w:r w:rsidRPr="00011645" w:rsidDel="00011645">
              <w:rPr>
                <w:b/>
                <w:sz w:val="16"/>
              </w:rPr>
              <w:t xml:space="preserve"> </w:t>
            </w:r>
          </w:p>
        </w:tc>
        <w:tc>
          <w:tcPr>
            <w:tcW w:w="2401" w:type="pct"/>
          </w:tcPr>
          <w:p w14:paraId="0C85FAAD" w14:textId="6121A099" w:rsidR="002A6D82" w:rsidRPr="007F4127" w:rsidRDefault="002A6D82" w:rsidP="007706BD">
            <w:pPr>
              <w:pStyle w:val="BodyText"/>
              <w:spacing w:after="0"/>
              <w:jc w:val="center"/>
              <w:rPr>
                <w:sz w:val="16"/>
              </w:rPr>
            </w:pPr>
            <w:r w:rsidRPr="002A6D82">
              <w:rPr>
                <w:color w:val="262626" w:themeColor="text1" w:themeTint="D9"/>
                <w:sz w:val="16"/>
              </w:rPr>
              <w:t>14.1%</w:t>
            </w:r>
          </w:p>
        </w:tc>
      </w:tr>
      <w:tr w:rsidR="002A6D82" w:rsidRPr="007F4127" w14:paraId="17F11669" w14:textId="77777777" w:rsidTr="002A6D82">
        <w:trPr>
          <w:cnfStyle w:val="000000010000" w:firstRow="0" w:lastRow="0" w:firstColumn="0" w:lastColumn="0" w:oddVBand="0" w:evenVBand="0" w:oddHBand="0" w:evenHBand="1" w:firstRowFirstColumn="0" w:firstRowLastColumn="0" w:lastRowFirstColumn="0" w:lastRowLastColumn="0"/>
        </w:trPr>
        <w:tc>
          <w:tcPr>
            <w:tcW w:w="2599" w:type="pct"/>
          </w:tcPr>
          <w:p w14:paraId="7F9D4936" w14:textId="6367C9C9" w:rsidR="002A6D82" w:rsidRDefault="002A6D82" w:rsidP="001919F9">
            <w:pPr>
              <w:pStyle w:val="BodyText"/>
              <w:spacing w:after="0"/>
              <w:jc w:val="left"/>
              <w:rPr>
                <w:b/>
                <w:sz w:val="16"/>
              </w:rPr>
            </w:pPr>
            <w:r w:rsidRPr="0051763C">
              <w:rPr>
                <w:b/>
                <w:sz w:val="16"/>
              </w:rPr>
              <w:t>Proxy voting advisor employed</w:t>
            </w:r>
            <w:r>
              <w:rPr>
                <w:b/>
                <w:sz w:val="16"/>
              </w:rPr>
              <w:fldChar w:fldCharType="begin"/>
            </w:r>
            <w:r>
              <w:rPr>
                <w:b/>
                <w:sz w:val="16"/>
              </w:rPr>
              <w:instrText xml:space="preserve"> NOTEREF _Ref103864060 \f \h </w:instrText>
            </w:r>
            <w:r>
              <w:rPr>
                <w:b/>
                <w:sz w:val="16"/>
              </w:rPr>
            </w:r>
            <w:r>
              <w:rPr>
                <w:b/>
                <w:sz w:val="16"/>
              </w:rPr>
              <w:fldChar w:fldCharType="separate"/>
            </w:r>
            <w:r w:rsidRPr="00915548">
              <w:rPr>
                <w:rStyle w:val="FootnoteReference"/>
              </w:rPr>
              <w:sym w:font="Symbol" w:char="F031"/>
            </w:r>
            <w:r>
              <w:rPr>
                <w:b/>
                <w:sz w:val="16"/>
              </w:rPr>
              <w:fldChar w:fldCharType="end"/>
            </w:r>
          </w:p>
        </w:tc>
        <w:tc>
          <w:tcPr>
            <w:tcW w:w="2401" w:type="pct"/>
          </w:tcPr>
          <w:p w14:paraId="500E8E5C" w14:textId="521004D0" w:rsidR="002A6D82" w:rsidRPr="007F4127" w:rsidRDefault="002A6D82" w:rsidP="007706BD">
            <w:pPr>
              <w:pStyle w:val="BodyText"/>
              <w:spacing w:after="0"/>
              <w:jc w:val="center"/>
              <w:rPr>
                <w:sz w:val="16"/>
              </w:rPr>
            </w:pPr>
            <w:r>
              <w:rPr>
                <w:sz w:val="16"/>
              </w:rPr>
              <w:t>ISS</w:t>
            </w:r>
          </w:p>
        </w:tc>
      </w:tr>
      <w:tr w:rsidR="002A6D82" w:rsidRPr="007F4127" w14:paraId="5D35F2F1" w14:textId="77777777" w:rsidTr="002A6D82">
        <w:trPr>
          <w:cnfStyle w:val="000000100000" w:firstRow="0" w:lastRow="0" w:firstColumn="0" w:lastColumn="0" w:oddVBand="0" w:evenVBand="0" w:oddHBand="1" w:evenHBand="0" w:firstRowFirstColumn="0" w:firstRowLastColumn="0" w:lastRowFirstColumn="0" w:lastRowLastColumn="0"/>
        </w:trPr>
        <w:tc>
          <w:tcPr>
            <w:tcW w:w="2599" w:type="pct"/>
          </w:tcPr>
          <w:p w14:paraId="3D01F150" w14:textId="4A08AC7C" w:rsidR="002A6D82" w:rsidRPr="007F4127" w:rsidRDefault="002A6D82" w:rsidP="001919F9">
            <w:pPr>
              <w:pStyle w:val="BodyText"/>
              <w:spacing w:after="0"/>
              <w:jc w:val="left"/>
              <w:rPr>
                <w:b/>
                <w:sz w:val="16"/>
              </w:rPr>
            </w:pPr>
            <w:r>
              <w:rPr>
                <w:b/>
                <w:sz w:val="16"/>
              </w:rPr>
              <w:t xml:space="preserve">% of resolutions voted against proxy voter recommendation </w:t>
            </w:r>
          </w:p>
        </w:tc>
        <w:tc>
          <w:tcPr>
            <w:tcW w:w="2401" w:type="pct"/>
          </w:tcPr>
          <w:p w14:paraId="0E93525F" w14:textId="13F8246C" w:rsidR="002A6D82" w:rsidRPr="007F4127" w:rsidRDefault="002A6D82" w:rsidP="007706BD">
            <w:pPr>
              <w:pStyle w:val="BodyText"/>
              <w:spacing w:after="0"/>
              <w:jc w:val="center"/>
              <w:rPr>
                <w:sz w:val="16"/>
              </w:rPr>
            </w:pPr>
            <w:r>
              <w:rPr>
                <w:sz w:val="16"/>
              </w:rPr>
              <w:t>7.6%</w:t>
            </w:r>
          </w:p>
        </w:tc>
      </w:tr>
    </w:tbl>
    <w:p w14:paraId="039BD22E" w14:textId="49CDFD3E" w:rsidR="00222232" w:rsidRDefault="00222232" w:rsidP="00436617">
      <w:pPr>
        <w:pStyle w:val="Heading3"/>
        <w:jc w:val="center"/>
      </w:pPr>
    </w:p>
    <w:p w14:paraId="56773388" w14:textId="5EB8FD9E" w:rsidR="009D0539" w:rsidRDefault="00B96F92" w:rsidP="007F4127">
      <w:pPr>
        <w:pStyle w:val="Heading3"/>
      </w:pPr>
      <w:r w:rsidRPr="002258B1">
        <w:rPr>
          <w:rFonts w:ascii="Segoe UI" w:eastAsiaTheme="minorHAnsi" w:hAnsi="Segoe UI"/>
          <w:bCs w:val="0"/>
          <w:color w:val="auto"/>
          <w:sz w:val="20"/>
          <w:szCs w:val="20"/>
        </w:rPr>
        <w:t>SSGA contract Institutional Shareholder Services’ (ISS) to administer proxy voting, assist in applying SSGA’s voting guidelines, provide research and analysis relating to general corporate governance issues and specific proxy items, and provide proxy voting guidelines in limited circumstances. SSGA also has access to Glass Lewis and region-specific meeting analysis provided by the Institutional Voting Information Service. All final voting decisions are based on their proxy voting policies and in-house operational guidelines.</w:t>
      </w:r>
      <w:r w:rsidR="000D78D2">
        <w:br w:type="column"/>
      </w:r>
      <w:r w:rsidR="00EC4E7F">
        <w:lastRenderedPageBreak/>
        <w:t>Significant votes</w:t>
      </w:r>
    </w:p>
    <w:p w14:paraId="2F969DA1" w14:textId="77777777" w:rsidR="00B96F92" w:rsidRDefault="0027786B" w:rsidP="0027786B">
      <w:pPr>
        <w:pStyle w:val="BodyText"/>
      </w:pPr>
      <w:r w:rsidRPr="00DF0273">
        <w:t xml:space="preserve">The change in Investment and Disclosure Regulations that came into force from October 2020 requires information on significant votes carried out on behalf of the Trustee over the year to be set out.  The guidance does not currently define what constitutes a “significant” vote. However, </w:t>
      </w:r>
      <w:r>
        <w:t>recent guidance</w:t>
      </w:r>
      <w:r w:rsidRPr="00DF0273">
        <w:t xml:space="preserve"> state</w:t>
      </w:r>
      <w:r>
        <w:t>s</w:t>
      </w:r>
      <w:r w:rsidRPr="00DF0273">
        <w:t xml:space="preserve"> that a significant vote is likely to be one that is linked to one or more of a scheme’s stewardship priorities / themes</w:t>
      </w:r>
      <w:r>
        <w:t>.</w:t>
      </w:r>
      <w:r w:rsidRPr="00DF0273">
        <w:t xml:space="preserve"> </w:t>
      </w:r>
    </w:p>
    <w:p w14:paraId="04292598" w14:textId="356CCE3A" w:rsidR="0027786B" w:rsidRDefault="0027786B" w:rsidP="0027786B">
      <w:pPr>
        <w:pStyle w:val="BodyText"/>
      </w:pPr>
      <w:r w:rsidRPr="00DF0273">
        <w:t xml:space="preserve">At this time, the Trustee has not set stewardship priorities / themes for the </w:t>
      </w:r>
      <w:proofErr w:type="gramStart"/>
      <w:r>
        <w:t>S</w:t>
      </w:r>
      <w:r w:rsidRPr="00DF0273">
        <w:t>cheme, but</w:t>
      </w:r>
      <w:proofErr w:type="gramEnd"/>
      <w:r w:rsidRPr="00DF0273">
        <w:t xml:space="preserve"> will be considering </w:t>
      </w:r>
      <w:r>
        <w:t xml:space="preserve">the extent </w:t>
      </w:r>
      <w:r w:rsidR="003D6490">
        <w:t xml:space="preserve">to which it </w:t>
      </w:r>
      <w:r>
        <w:t>wish</w:t>
      </w:r>
      <w:r w:rsidR="003D6490">
        <w:t>es</w:t>
      </w:r>
      <w:r>
        <w:t xml:space="preserve"> to do </w:t>
      </w:r>
      <w:r w:rsidRPr="00DF0273">
        <w:t xml:space="preserve">this </w:t>
      </w:r>
      <w:r>
        <w:t>in due course, in line with other Scheme risks</w:t>
      </w:r>
      <w:r w:rsidRPr="00DF0273">
        <w:t xml:space="preserve">.  </w:t>
      </w:r>
      <w:r w:rsidR="00B96F92">
        <w:t>Therefore,</w:t>
      </w:r>
      <w:r w:rsidRPr="00DF0273">
        <w:t xml:space="preserve"> for this Implementation Statement</w:t>
      </w:r>
      <w:r>
        <w:t>,</w:t>
      </w:r>
      <w:r w:rsidRPr="00DF0273">
        <w:t xml:space="preserve"> the Trustee has asked the </w:t>
      </w:r>
      <w:r w:rsidR="003D6490">
        <w:t>fund</w:t>
      </w:r>
      <w:r w:rsidR="003D6490" w:rsidRPr="00DF0273">
        <w:t xml:space="preserve"> </w:t>
      </w:r>
      <w:r w:rsidRPr="00DF0273">
        <w:t>managers to determine what they believe to be a “significant vote”.</w:t>
      </w:r>
      <w:r>
        <w:t xml:space="preserve"> The Trustee has not communicated voting preferences to their </w:t>
      </w:r>
      <w:r w:rsidR="003D6490">
        <w:t xml:space="preserve">fund </w:t>
      </w:r>
      <w:r>
        <w:t xml:space="preserve">managers over the period, as the Trustee is yet to develop a specific voting policy. In future, the Trustee will consider the most significant votes in conjunction with any agreed stewardship priorities / themes. </w:t>
      </w:r>
    </w:p>
    <w:p w14:paraId="37C2739D" w14:textId="05314BE0" w:rsidR="009513A5" w:rsidRDefault="009513A5" w:rsidP="009513A5">
      <w:pPr>
        <w:pStyle w:val="BodyText"/>
      </w:pPr>
      <w:r>
        <w:rPr>
          <w:b/>
        </w:rPr>
        <w:t>State Street</w:t>
      </w:r>
      <w:r w:rsidRPr="00436617">
        <w:t xml:space="preserve"> have provided a selection of votes which they believe to be significant. </w:t>
      </w:r>
      <w:r>
        <w:t>State Street consider the following topics to be most significant when it comes to their voting policies and therefore classify them as “significant votes”:</w:t>
      </w:r>
    </w:p>
    <w:p w14:paraId="39DA2182" w14:textId="77777777" w:rsidR="009513A5" w:rsidRDefault="009513A5" w:rsidP="009513A5">
      <w:pPr>
        <w:pStyle w:val="List"/>
      </w:pPr>
      <w:r>
        <w:t>All votes on environmental related shareholder proposals.</w:t>
      </w:r>
    </w:p>
    <w:p w14:paraId="0044390B" w14:textId="77777777" w:rsidR="009513A5" w:rsidRDefault="009513A5" w:rsidP="009513A5">
      <w:pPr>
        <w:pStyle w:val="List"/>
      </w:pPr>
      <w:r>
        <w:t>All votes on compensation proposals where they voted against the company management’s recommendation.</w:t>
      </w:r>
    </w:p>
    <w:p w14:paraId="544D130B" w14:textId="77777777" w:rsidR="009513A5" w:rsidRDefault="009513A5" w:rsidP="009513A5">
      <w:pPr>
        <w:pStyle w:val="List"/>
      </w:pPr>
      <w:r>
        <w:t>All votes against the re-election of board members due to: poor ESG performance of their companies; poor compliance with the local corporate governance score of their companies; and, due to the lack of gender diversity on board.</w:t>
      </w:r>
    </w:p>
    <w:p w14:paraId="61B02B0A" w14:textId="723CF020" w:rsidR="009513A5" w:rsidRDefault="00914168" w:rsidP="009513A5">
      <w:pPr>
        <w:pStyle w:val="BodyText"/>
      </w:pPr>
      <w:r>
        <w:t xml:space="preserve">In the absence of agreed stewardship priorities / themes, the Trustee has selected </w:t>
      </w:r>
      <w:r w:rsidR="009513A5">
        <w:t>4</w:t>
      </w:r>
      <w:r>
        <w:t xml:space="preserve"> votes from </w:t>
      </w:r>
      <w:r w:rsidR="009513A5">
        <w:t xml:space="preserve">their equity </w:t>
      </w:r>
      <w:r>
        <w:t>manager</w:t>
      </w:r>
      <w:r w:rsidR="009513A5">
        <w:t xml:space="preserve"> that cover a range of themes to represent what it considers the most significant votes cast on behalf of the Scheme. To represent the most significant votes, the votes of the largest holdings relating to each topic are shown below. </w:t>
      </w:r>
    </w:p>
    <w:p w14:paraId="6D5F45B5" w14:textId="6812D739" w:rsidR="00436617" w:rsidRDefault="009513A5" w:rsidP="00EC4E7F">
      <w:pPr>
        <w:pStyle w:val="BodyText"/>
      </w:pPr>
      <w:r>
        <w:t xml:space="preserve">There are no voting rights attached to funds </w:t>
      </w:r>
      <w:r w:rsidRPr="00ED33CD">
        <w:t xml:space="preserve">held with </w:t>
      </w:r>
      <w:r w:rsidR="005F37F5" w:rsidRPr="00ED33CD">
        <w:rPr>
          <w:b/>
        </w:rPr>
        <w:t>Insight</w:t>
      </w:r>
      <w:r w:rsidR="003D6490">
        <w:rPr>
          <w:b/>
        </w:rPr>
        <w:t xml:space="preserve"> Investment Management</w:t>
      </w:r>
      <w:r w:rsidRPr="002258B1">
        <w:rPr>
          <w:b/>
        </w:rPr>
        <w:t>.</w:t>
      </w:r>
    </w:p>
    <w:p w14:paraId="2AA303B7" w14:textId="70731E0B" w:rsidR="007F4127" w:rsidRDefault="00405CE4" w:rsidP="00EC4E7F">
      <w:pPr>
        <w:pStyle w:val="BodyText"/>
        <w:rPr>
          <w:b/>
        </w:rPr>
      </w:pPr>
      <w:r>
        <w:rPr>
          <w:b/>
        </w:rPr>
        <w:t>State Street Global Advisors, All World ESG Screened Index Equity Sub-Fund</w:t>
      </w:r>
    </w:p>
    <w:tbl>
      <w:tblPr>
        <w:tblStyle w:val="bwTable"/>
        <w:tblW w:w="5000" w:type="pct"/>
        <w:tblLook w:val="04A0" w:firstRow="1" w:lastRow="0" w:firstColumn="1" w:lastColumn="0" w:noHBand="0" w:noVBand="1"/>
      </w:tblPr>
      <w:tblGrid>
        <w:gridCol w:w="1974"/>
        <w:gridCol w:w="1973"/>
        <w:gridCol w:w="1973"/>
        <w:gridCol w:w="1973"/>
        <w:gridCol w:w="1973"/>
      </w:tblGrid>
      <w:tr w:rsidR="00B87524" w:rsidRPr="007F4127" w14:paraId="3AEB7AC2" w14:textId="3AA22445" w:rsidTr="002258B1">
        <w:trPr>
          <w:cnfStyle w:val="100000000000" w:firstRow="1" w:lastRow="0" w:firstColumn="0" w:lastColumn="0" w:oddVBand="0" w:evenVBand="0" w:oddHBand="0" w:evenHBand="0" w:firstRowFirstColumn="0" w:firstRowLastColumn="0" w:lastRowFirstColumn="0" w:lastRowLastColumn="0"/>
          <w:tblHeader/>
        </w:trPr>
        <w:tc>
          <w:tcPr>
            <w:tcW w:w="1000" w:type="pct"/>
          </w:tcPr>
          <w:p w14:paraId="49CF6386" w14:textId="7D741650" w:rsidR="00B87524" w:rsidRPr="007F4127" w:rsidRDefault="00B87524" w:rsidP="004B3A31">
            <w:pPr>
              <w:pStyle w:val="BodyText"/>
              <w:spacing w:after="0"/>
              <w:jc w:val="left"/>
              <w:rPr>
                <w:b/>
                <w:sz w:val="16"/>
              </w:rPr>
            </w:pPr>
          </w:p>
        </w:tc>
        <w:tc>
          <w:tcPr>
            <w:tcW w:w="1000" w:type="pct"/>
          </w:tcPr>
          <w:p w14:paraId="3429E9CA" w14:textId="62E8ED0A" w:rsidR="00B87524" w:rsidRPr="007F4127" w:rsidRDefault="00B87524" w:rsidP="004B3A31">
            <w:pPr>
              <w:pStyle w:val="BodyText"/>
              <w:spacing w:after="0"/>
              <w:jc w:val="center"/>
              <w:rPr>
                <w:b/>
                <w:sz w:val="16"/>
              </w:rPr>
            </w:pPr>
            <w:r w:rsidRPr="007F4127">
              <w:rPr>
                <w:b/>
                <w:sz w:val="16"/>
              </w:rPr>
              <w:t>Vote 1</w:t>
            </w:r>
          </w:p>
        </w:tc>
        <w:tc>
          <w:tcPr>
            <w:tcW w:w="1000" w:type="pct"/>
          </w:tcPr>
          <w:p w14:paraId="46FAC99E" w14:textId="789C8881" w:rsidR="00B87524" w:rsidRPr="007F4127" w:rsidRDefault="00B87524" w:rsidP="004B3A31">
            <w:pPr>
              <w:pStyle w:val="BodyText"/>
              <w:spacing w:after="0"/>
              <w:jc w:val="center"/>
              <w:rPr>
                <w:b/>
                <w:sz w:val="16"/>
              </w:rPr>
            </w:pPr>
            <w:r w:rsidRPr="007F4127">
              <w:rPr>
                <w:b/>
                <w:sz w:val="16"/>
              </w:rPr>
              <w:t>Vote 2</w:t>
            </w:r>
          </w:p>
        </w:tc>
        <w:tc>
          <w:tcPr>
            <w:tcW w:w="1000" w:type="pct"/>
          </w:tcPr>
          <w:p w14:paraId="1E158712" w14:textId="6FAD1647" w:rsidR="00B87524" w:rsidRPr="007F4127" w:rsidRDefault="00B87524" w:rsidP="004B3A31">
            <w:pPr>
              <w:pStyle w:val="BodyText"/>
              <w:spacing w:after="0"/>
              <w:jc w:val="center"/>
              <w:rPr>
                <w:b/>
                <w:sz w:val="16"/>
              </w:rPr>
            </w:pPr>
            <w:r w:rsidRPr="007F4127">
              <w:rPr>
                <w:b/>
                <w:sz w:val="16"/>
              </w:rPr>
              <w:t>Vote 3</w:t>
            </w:r>
          </w:p>
        </w:tc>
        <w:tc>
          <w:tcPr>
            <w:tcW w:w="1000" w:type="pct"/>
          </w:tcPr>
          <w:p w14:paraId="79564713" w14:textId="36BA4327" w:rsidR="00B87524" w:rsidRPr="007F4127" w:rsidRDefault="00B87524" w:rsidP="004B3A31">
            <w:pPr>
              <w:pStyle w:val="BodyText"/>
              <w:spacing w:after="0"/>
              <w:jc w:val="center"/>
              <w:rPr>
                <w:b/>
                <w:sz w:val="16"/>
              </w:rPr>
            </w:pPr>
            <w:r>
              <w:rPr>
                <w:b/>
                <w:sz w:val="16"/>
              </w:rPr>
              <w:t>Vote 4</w:t>
            </w:r>
          </w:p>
        </w:tc>
      </w:tr>
      <w:tr w:rsidR="00B87524" w:rsidRPr="007F4127" w14:paraId="573EE996" w14:textId="7DF1A633" w:rsidTr="002258B1">
        <w:trPr>
          <w:cnfStyle w:val="000000100000" w:firstRow="0" w:lastRow="0" w:firstColumn="0" w:lastColumn="0" w:oddVBand="0" w:evenVBand="0" w:oddHBand="1" w:evenHBand="0" w:firstRowFirstColumn="0" w:firstRowLastColumn="0" w:lastRowFirstColumn="0" w:lastRowLastColumn="0"/>
        </w:trPr>
        <w:tc>
          <w:tcPr>
            <w:tcW w:w="1000" w:type="pct"/>
          </w:tcPr>
          <w:p w14:paraId="76D1274F" w14:textId="3874A285" w:rsidR="00B87524" w:rsidRPr="007F4127" w:rsidRDefault="00B87524" w:rsidP="004B3A31">
            <w:pPr>
              <w:pStyle w:val="BodyText"/>
              <w:spacing w:after="0"/>
              <w:jc w:val="left"/>
              <w:rPr>
                <w:b/>
                <w:sz w:val="16"/>
              </w:rPr>
            </w:pPr>
            <w:r w:rsidRPr="007F4127">
              <w:rPr>
                <w:b/>
                <w:sz w:val="16"/>
              </w:rPr>
              <w:t>Company name</w:t>
            </w:r>
          </w:p>
        </w:tc>
        <w:tc>
          <w:tcPr>
            <w:tcW w:w="1000" w:type="pct"/>
          </w:tcPr>
          <w:p w14:paraId="50DE02CD" w14:textId="5998BB60" w:rsidR="00B87524" w:rsidRPr="007F4127" w:rsidRDefault="00B87524" w:rsidP="004B3A31">
            <w:pPr>
              <w:pStyle w:val="BodyText"/>
              <w:spacing w:after="0"/>
              <w:jc w:val="center"/>
              <w:rPr>
                <w:sz w:val="16"/>
              </w:rPr>
            </w:pPr>
            <w:r>
              <w:rPr>
                <w:sz w:val="16"/>
              </w:rPr>
              <w:t>Microsoft Corporation</w:t>
            </w:r>
          </w:p>
        </w:tc>
        <w:tc>
          <w:tcPr>
            <w:tcW w:w="1000" w:type="pct"/>
          </w:tcPr>
          <w:p w14:paraId="701E4B1C" w14:textId="535945B7" w:rsidR="00B87524" w:rsidRPr="007F4127" w:rsidRDefault="00B87524" w:rsidP="004B3A31">
            <w:pPr>
              <w:pStyle w:val="BodyText"/>
              <w:spacing w:after="0"/>
              <w:jc w:val="center"/>
              <w:rPr>
                <w:sz w:val="16"/>
              </w:rPr>
            </w:pPr>
            <w:r>
              <w:rPr>
                <w:sz w:val="16"/>
              </w:rPr>
              <w:t>Amazon.com, Inc.</w:t>
            </w:r>
          </w:p>
        </w:tc>
        <w:tc>
          <w:tcPr>
            <w:tcW w:w="1000" w:type="pct"/>
          </w:tcPr>
          <w:p w14:paraId="55346CCD" w14:textId="22D45047" w:rsidR="00B87524" w:rsidRPr="007F4127" w:rsidRDefault="00B87524" w:rsidP="004B3A31">
            <w:pPr>
              <w:pStyle w:val="BodyText"/>
              <w:spacing w:after="0"/>
              <w:jc w:val="center"/>
              <w:rPr>
                <w:sz w:val="16"/>
              </w:rPr>
            </w:pPr>
            <w:r>
              <w:rPr>
                <w:sz w:val="16"/>
              </w:rPr>
              <w:t>Meta Platforms, Inc.</w:t>
            </w:r>
          </w:p>
        </w:tc>
        <w:tc>
          <w:tcPr>
            <w:tcW w:w="1000" w:type="pct"/>
          </w:tcPr>
          <w:p w14:paraId="3A81EDEF" w14:textId="50DB2100" w:rsidR="00B87524" w:rsidDel="00B87524" w:rsidRDefault="00B87524" w:rsidP="004B3A31">
            <w:pPr>
              <w:pStyle w:val="BodyText"/>
              <w:spacing w:after="0"/>
              <w:jc w:val="center"/>
              <w:rPr>
                <w:sz w:val="16"/>
              </w:rPr>
            </w:pPr>
            <w:proofErr w:type="spellStart"/>
            <w:r>
              <w:rPr>
                <w:sz w:val="16"/>
              </w:rPr>
              <w:t>Meituan</w:t>
            </w:r>
            <w:proofErr w:type="spellEnd"/>
          </w:p>
        </w:tc>
      </w:tr>
      <w:tr w:rsidR="00B87524" w:rsidRPr="007F4127" w14:paraId="7C85294B" w14:textId="2591C9F6" w:rsidTr="002258B1">
        <w:trPr>
          <w:cnfStyle w:val="000000010000" w:firstRow="0" w:lastRow="0" w:firstColumn="0" w:lastColumn="0" w:oddVBand="0" w:evenVBand="0" w:oddHBand="0" w:evenHBand="1" w:firstRowFirstColumn="0" w:firstRowLastColumn="0" w:lastRowFirstColumn="0" w:lastRowLastColumn="0"/>
        </w:trPr>
        <w:tc>
          <w:tcPr>
            <w:tcW w:w="1000" w:type="pct"/>
          </w:tcPr>
          <w:p w14:paraId="12B795F4" w14:textId="27B9AF09" w:rsidR="00B87524" w:rsidRPr="007F4127" w:rsidRDefault="00B87524" w:rsidP="004B3A31">
            <w:pPr>
              <w:pStyle w:val="BodyText"/>
              <w:spacing w:after="0"/>
              <w:jc w:val="left"/>
              <w:rPr>
                <w:b/>
                <w:sz w:val="16"/>
              </w:rPr>
            </w:pPr>
            <w:r w:rsidRPr="007F4127">
              <w:rPr>
                <w:b/>
                <w:sz w:val="16"/>
              </w:rPr>
              <w:t>Approximate size of fund's holding as at the date of the vote (as % of portfolio)</w:t>
            </w:r>
          </w:p>
        </w:tc>
        <w:tc>
          <w:tcPr>
            <w:tcW w:w="1000" w:type="pct"/>
          </w:tcPr>
          <w:p w14:paraId="28007860" w14:textId="4618829E" w:rsidR="00B87524" w:rsidRPr="007F4127" w:rsidRDefault="00B87524" w:rsidP="004B3A31">
            <w:pPr>
              <w:pStyle w:val="BodyText"/>
              <w:spacing w:after="0"/>
              <w:jc w:val="center"/>
              <w:rPr>
                <w:sz w:val="16"/>
              </w:rPr>
            </w:pPr>
            <w:r>
              <w:rPr>
                <w:sz w:val="16"/>
              </w:rPr>
              <w:t>3.31%</w:t>
            </w:r>
          </w:p>
        </w:tc>
        <w:tc>
          <w:tcPr>
            <w:tcW w:w="1000" w:type="pct"/>
          </w:tcPr>
          <w:p w14:paraId="3516C056" w14:textId="3557C489" w:rsidR="00B87524" w:rsidRPr="007F4127" w:rsidRDefault="00B87524" w:rsidP="004B3A31">
            <w:pPr>
              <w:pStyle w:val="BodyText"/>
              <w:spacing w:after="0"/>
              <w:jc w:val="center"/>
              <w:rPr>
                <w:sz w:val="16"/>
              </w:rPr>
            </w:pPr>
            <w:r>
              <w:rPr>
                <w:sz w:val="16"/>
              </w:rPr>
              <w:t>1.75%</w:t>
            </w:r>
          </w:p>
        </w:tc>
        <w:tc>
          <w:tcPr>
            <w:tcW w:w="1000" w:type="pct"/>
          </w:tcPr>
          <w:p w14:paraId="44DD6554" w14:textId="031B8D25" w:rsidR="00B87524" w:rsidRPr="007F4127" w:rsidRDefault="00B87524" w:rsidP="004B3A31">
            <w:pPr>
              <w:pStyle w:val="BodyText"/>
              <w:spacing w:after="0"/>
              <w:jc w:val="center"/>
              <w:rPr>
                <w:sz w:val="16"/>
              </w:rPr>
            </w:pPr>
            <w:r>
              <w:rPr>
                <w:sz w:val="16"/>
              </w:rPr>
              <w:t>0.68%</w:t>
            </w:r>
          </w:p>
        </w:tc>
        <w:tc>
          <w:tcPr>
            <w:tcW w:w="1000" w:type="pct"/>
          </w:tcPr>
          <w:p w14:paraId="64FD9790" w14:textId="00C5E214" w:rsidR="00B87524" w:rsidRDefault="00B87524" w:rsidP="004B3A31">
            <w:pPr>
              <w:pStyle w:val="BodyText"/>
              <w:spacing w:after="0"/>
              <w:jc w:val="center"/>
              <w:rPr>
                <w:sz w:val="16"/>
              </w:rPr>
            </w:pPr>
            <w:r>
              <w:rPr>
                <w:sz w:val="16"/>
              </w:rPr>
              <w:t>0.19%</w:t>
            </w:r>
          </w:p>
        </w:tc>
      </w:tr>
      <w:tr w:rsidR="00B87524" w:rsidRPr="007F4127" w14:paraId="25B09A45" w14:textId="6FAC6E2A" w:rsidTr="002258B1">
        <w:trPr>
          <w:cnfStyle w:val="000000100000" w:firstRow="0" w:lastRow="0" w:firstColumn="0" w:lastColumn="0" w:oddVBand="0" w:evenVBand="0" w:oddHBand="1" w:evenHBand="0" w:firstRowFirstColumn="0" w:firstRowLastColumn="0" w:lastRowFirstColumn="0" w:lastRowLastColumn="0"/>
        </w:trPr>
        <w:tc>
          <w:tcPr>
            <w:tcW w:w="1000" w:type="pct"/>
          </w:tcPr>
          <w:p w14:paraId="7DC891B7" w14:textId="5D4CC32C" w:rsidR="00B87524" w:rsidRPr="007F4127" w:rsidRDefault="00B87524" w:rsidP="004B3A31">
            <w:pPr>
              <w:pStyle w:val="BodyText"/>
              <w:spacing w:after="0"/>
              <w:jc w:val="left"/>
              <w:rPr>
                <w:b/>
                <w:sz w:val="16"/>
              </w:rPr>
            </w:pPr>
            <w:r w:rsidRPr="007F4127">
              <w:rPr>
                <w:b/>
                <w:sz w:val="16"/>
              </w:rPr>
              <w:t>Summary of the resolution</w:t>
            </w:r>
          </w:p>
        </w:tc>
        <w:tc>
          <w:tcPr>
            <w:tcW w:w="1000" w:type="pct"/>
          </w:tcPr>
          <w:p w14:paraId="128B21DA" w14:textId="6045B719" w:rsidR="00B87524" w:rsidRPr="007F4127" w:rsidRDefault="00B87524" w:rsidP="004B3A31">
            <w:pPr>
              <w:pStyle w:val="BodyText"/>
              <w:spacing w:after="0"/>
              <w:jc w:val="center"/>
              <w:rPr>
                <w:sz w:val="16"/>
              </w:rPr>
            </w:pPr>
            <w:r>
              <w:rPr>
                <w:sz w:val="16"/>
              </w:rPr>
              <w:t>Report on climate change</w:t>
            </w:r>
          </w:p>
        </w:tc>
        <w:tc>
          <w:tcPr>
            <w:tcW w:w="1000" w:type="pct"/>
          </w:tcPr>
          <w:p w14:paraId="7E9E7225" w14:textId="2A304C9B" w:rsidR="00B87524" w:rsidRPr="007F4127" w:rsidRDefault="00B87524" w:rsidP="004B3A31">
            <w:pPr>
              <w:pStyle w:val="BodyText"/>
              <w:spacing w:after="0"/>
              <w:jc w:val="center"/>
              <w:rPr>
                <w:sz w:val="16"/>
              </w:rPr>
            </w:pPr>
            <w:r>
              <w:rPr>
                <w:sz w:val="16"/>
              </w:rPr>
              <w:t xml:space="preserve">Facility </w:t>
            </w:r>
            <w:r w:rsidR="003D6490">
              <w:rPr>
                <w:sz w:val="16"/>
              </w:rPr>
              <w:t>s</w:t>
            </w:r>
            <w:r>
              <w:rPr>
                <w:sz w:val="16"/>
              </w:rPr>
              <w:t>afety</w:t>
            </w:r>
          </w:p>
        </w:tc>
        <w:tc>
          <w:tcPr>
            <w:tcW w:w="1000" w:type="pct"/>
          </w:tcPr>
          <w:p w14:paraId="1F8E005C" w14:textId="535F6537" w:rsidR="00B87524" w:rsidRPr="007F4127" w:rsidRDefault="00B87524" w:rsidP="004B3A31">
            <w:pPr>
              <w:pStyle w:val="BodyText"/>
              <w:spacing w:after="0"/>
              <w:jc w:val="center"/>
              <w:rPr>
                <w:sz w:val="16"/>
              </w:rPr>
            </w:pPr>
            <w:r w:rsidRPr="005801B7">
              <w:rPr>
                <w:sz w:val="16"/>
              </w:rPr>
              <w:t xml:space="preserve">Advisory </w:t>
            </w:r>
            <w:r w:rsidR="003D6490">
              <w:rPr>
                <w:sz w:val="16"/>
              </w:rPr>
              <w:t>v</w:t>
            </w:r>
            <w:r w:rsidRPr="005801B7">
              <w:rPr>
                <w:sz w:val="16"/>
              </w:rPr>
              <w:t xml:space="preserve">ote to </w:t>
            </w:r>
            <w:r w:rsidR="003D6490">
              <w:rPr>
                <w:sz w:val="16"/>
              </w:rPr>
              <w:t>r</w:t>
            </w:r>
            <w:r w:rsidRPr="005801B7">
              <w:rPr>
                <w:sz w:val="16"/>
              </w:rPr>
              <w:t xml:space="preserve">atify </w:t>
            </w:r>
            <w:r w:rsidR="003D6490">
              <w:rPr>
                <w:sz w:val="16"/>
              </w:rPr>
              <w:t>n</w:t>
            </w:r>
            <w:r w:rsidRPr="005801B7">
              <w:rPr>
                <w:sz w:val="16"/>
              </w:rPr>
              <w:t xml:space="preserve">amed </w:t>
            </w:r>
            <w:r w:rsidR="003D6490">
              <w:rPr>
                <w:sz w:val="16"/>
              </w:rPr>
              <w:t>e</w:t>
            </w:r>
            <w:r w:rsidRPr="005801B7">
              <w:rPr>
                <w:sz w:val="16"/>
              </w:rPr>
              <w:t xml:space="preserve">xecutive </w:t>
            </w:r>
            <w:r w:rsidR="003D6490">
              <w:rPr>
                <w:sz w:val="16"/>
              </w:rPr>
              <w:t>o</w:t>
            </w:r>
            <w:r w:rsidRPr="005801B7">
              <w:rPr>
                <w:sz w:val="16"/>
              </w:rPr>
              <w:t xml:space="preserve">fficers' </w:t>
            </w:r>
            <w:r w:rsidR="003D6490">
              <w:rPr>
                <w:sz w:val="16"/>
              </w:rPr>
              <w:t>c</w:t>
            </w:r>
            <w:r w:rsidRPr="005801B7">
              <w:rPr>
                <w:sz w:val="16"/>
              </w:rPr>
              <w:t>ompensation</w:t>
            </w:r>
          </w:p>
        </w:tc>
        <w:tc>
          <w:tcPr>
            <w:tcW w:w="1000" w:type="pct"/>
          </w:tcPr>
          <w:p w14:paraId="450B2EF4" w14:textId="0DBAD93B" w:rsidR="00B87524" w:rsidRPr="005801B7" w:rsidRDefault="00B87524" w:rsidP="004B3A31">
            <w:pPr>
              <w:pStyle w:val="BodyText"/>
              <w:spacing w:after="0"/>
              <w:jc w:val="center"/>
              <w:rPr>
                <w:sz w:val="16"/>
              </w:rPr>
            </w:pPr>
            <w:r>
              <w:rPr>
                <w:sz w:val="16"/>
              </w:rPr>
              <w:t xml:space="preserve">Elect </w:t>
            </w:r>
            <w:r w:rsidR="003D6490">
              <w:rPr>
                <w:sz w:val="16"/>
              </w:rPr>
              <w:t>d</w:t>
            </w:r>
            <w:r>
              <w:rPr>
                <w:sz w:val="16"/>
              </w:rPr>
              <w:t>irector</w:t>
            </w:r>
          </w:p>
        </w:tc>
      </w:tr>
      <w:tr w:rsidR="00B87524" w:rsidRPr="007F4127" w14:paraId="266EC143" w14:textId="59151D7B" w:rsidTr="002258B1">
        <w:trPr>
          <w:cnfStyle w:val="000000010000" w:firstRow="0" w:lastRow="0" w:firstColumn="0" w:lastColumn="0" w:oddVBand="0" w:evenVBand="0" w:oddHBand="0" w:evenHBand="1" w:firstRowFirstColumn="0" w:firstRowLastColumn="0" w:lastRowFirstColumn="0" w:lastRowLastColumn="0"/>
        </w:trPr>
        <w:tc>
          <w:tcPr>
            <w:tcW w:w="1000" w:type="pct"/>
          </w:tcPr>
          <w:p w14:paraId="2C3326BD" w14:textId="2FE62D7F" w:rsidR="00B87524" w:rsidRPr="007F4127" w:rsidRDefault="00B87524" w:rsidP="001919F9">
            <w:pPr>
              <w:pStyle w:val="BodyText"/>
              <w:spacing w:after="0"/>
              <w:jc w:val="left"/>
              <w:rPr>
                <w:b/>
                <w:sz w:val="16"/>
              </w:rPr>
            </w:pPr>
            <w:r w:rsidRPr="007F4127">
              <w:rPr>
                <w:b/>
                <w:sz w:val="16"/>
              </w:rPr>
              <w:t xml:space="preserve">How </w:t>
            </w:r>
            <w:r>
              <w:rPr>
                <w:b/>
                <w:sz w:val="16"/>
              </w:rPr>
              <w:t>the manager voted</w:t>
            </w:r>
          </w:p>
        </w:tc>
        <w:tc>
          <w:tcPr>
            <w:tcW w:w="1000" w:type="pct"/>
          </w:tcPr>
          <w:p w14:paraId="4161E931" w14:textId="5B56AD23" w:rsidR="00B87524" w:rsidRPr="007F4127" w:rsidRDefault="00B87524" w:rsidP="004B3A31">
            <w:pPr>
              <w:pStyle w:val="BodyText"/>
              <w:spacing w:after="0"/>
              <w:jc w:val="center"/>
              <w:rPr>
                <w:sz w:val="16"/>
              </w:rPr>
            </w:pPr>
            <w:r>
              <w:rPr>
                <w:sz w:val="16"/>
              </w:rPr>
              <w:t>Against</w:t>
            </w:r>
          </w:p>
        </w:tc>
        <w:tc>
          <w:tcPr>
            <w:tcW w:w="1000" w:type="pct"/>
          </w:tcPr>
          <w:p w14:paraId="643BD00B" w14:textId="224072B8" w:rsidR="00B87524" w:rsidRPr="007F4127" w:rsidRDefault="00B87524" w:rsidP="004B3A31">
            <w:pPr>
              <w:pStyle w:val="BodyText"/>
              <w:spacing w:after="0"/>
              <w:jc w:val="center"/>
              <w:rPr>
                <w:sz w:val="16"/>
              </w:rPr>
            </w:pPr>
            <w:r>
              <w:rPr>
                <w:sz w:val="16"/>
              </w:rPr>
              <w:t>Abstain</w:t>
            </w:r>
          </w:p>
        </w:tc>
        <w:tc>
          <w:tcPr>
            <w:tcW w:w="1000" w:type="pct"/>
          </w:tcPr>
          <w:p w14:paraId="65A92EA1" w14:textId="7A372E60" w:rsidR="00B87524" w:rsidRPr="007F4127" w:rsidRDefault="00B87524" w:rsidP="004B3A31">
            <w:pPr>
              <w:pStyle w:val="BodyText"/>
              <w:spacing w:after="0"/>
              <w:jc w:val="center"/>
              <w:rPr>
                <w:sz w:val="16"/>
              </w:rPr>
            </w:pPr>
            <w:r>
              <w:rPr>
                <w:sz w:val="16"/>
              </w:rPr>
              <w:t>Against</w:t>
            </w:r>
          </w:p>
        </w:tc>
        <w:tc>
          <w:tcPr>
            <w:tcW w:w="1000" w:type="pct"/>
          </w:tcPr>
          <w:p w14:paraId="1A18E588" w14:textId="096D8EE1" w:rsidR="00B87524" w:rsidRDefault="00B87524" w:rsidP="004B3A31">
            <w:pPr>
              <w:pStyle w:val="BodyText"/>
              <w:spacing w:after="0"/>
              <w:jc w:val="center"/>
              <w:rPr>
                <w:sz w:val="16"/>
              </w:rPr>
            </w:pPr>
            <w:r>
              <w:rPr>
                <w:sz w:val="16"/>
              </w:rPr>
              <w:t>Against</w:t>
            </w:r>
          </w:p>
        </w:tc>
      </w:tr>
      <w:tr w:rsidR="00B87524" w:rsidRPr="007F4127" w14:paraId="37C8AA0F" w14:textId="482A50D2" w:rsidTr="002258B1">
        <w:trPr>
          <w:cnfStyle w:val="000000100000" w:firstRow="0" w:lastRow="0" w:firstColumn="0" w:lastColumn="0" w:oddVBand="0" w:evenVBand="0" w:oddHBand="1" w:evenHBand="0" w:firstRowFirstColumn="0" w:firstRowLastColumn="0" w:lastRowFirstColumn="0" w:lastRowLastColumn="0"/>
        </w:trPr>
        <w:tc>
          <w:tcPr>
            <w:tcW w:w="1000" w:type="pct"/>
          </w:tcPr>
          <w:p w14:paraId="445701E4" w14:textId="29BE8BEE" w:rsidR="00B87524" w:rsidRPr="007F4127" w:rsidRDefault="00B87524" w:rsidP="004B3A31">
            <w:pPr>
              <w:pStyle w:val="BodyText"/>
              <w:spacing w:after="0"/>
              <w:jc w:val="left"/>
              <w:rPr>
                <w:b/>
                <w:sz w:val="16"/>
              </w:rPr>
            </w:pPr>
            <w:r w:rsidRPr="007F4127">
              <w:rPr>
                <w:b/>
                <w:sz w:val="16"/>
              </w:rPr>
              <w:t>Rationale for the voting decision</w:t>
            </w:r>
          </w:p>
        </w:tc>
        <w:tc>
          <w:tcPr>
            <w:tcW w:w="1000" w:type="pct"/>
          </w:tcPr>
          <w:p w14:paraId="58F04F3C" w14:textId="1A720996" w:rsidR="00B87524" w:rsidRPr="007F4127" w:rsidRDefault="00B87524" w:rsidP="004B3A31">
            <w:pPr>
              <w:pStyle w:val="BodyText"/>
              <w:spacing w:after="0"/>
              <w:jc w:val="center"/>
              <w:rPr>
                <w:sz w:val="16"/>
              </w:rPr>
            </w:pPr>
            <w:r w:rsidRPr="00405CE4">
              <w:rPr>
                <w:sz w:val="16"/>
              </w:rPr>
              <w:t>This proposal does not merit support as the</w:t>
            </w:r>
            <w:r>
              <w:rPr>
                <w:sz w:val="16"/>
              </w:rPr>
              <w:t xml:space="preserve"> manager believes the</w:t>
            </w:r>
            <w:r w:rsidRPr="00405CE4">
              <w:rPr>
                <w:sz w:val="16"/>
              </w:rPr>
              <w:t xml:space="preserve"> company's disclosure and/or practices related to climate change are reasonable.</w:t>
            </w:r>
          </w:p>
        </w:tc>
        <w:tc>
          <w:tcPr>
            <w:tcW w:w="1000" w:type="pct"/>
          </w:tcPr>
          <w:p w14:paraId="161C8E9C" w14:textId="1D7DB7BD" w:rsidR="00B87524" w:rsidRPr="007F4127" w:rsidRDefault="00B87524" w:rsidP="004B3A31">
            <w:pPr>
              <w:pStyle w:val="BodyText"/>
              <w:spacing w:after="0"/>
              <w:jc w:val="center"/>
              <w:rPr>
                <w:sz w:val="16"/>
              </w:rPr>
            </w:pPr>
            <w:r w:rsidRPr="00B87524">
              <w:rPr>
                <w:sz w:val="16"/>
              </w:rPr>
              <w:t>S</w:t>
            </w:r>
            <w:r>
              <w:rPr>
                <w:sz w:val="16"/>
              </w:rPr>
              <w:t>tate Street</w:t>
            </w:r>
            <w:r w:rsidRPr="00B87524">
              <w:rPr>
                <w:sz w:val="16"/>
              </w:rPr>
              <w:t xml:space="preserve"> is abstaining on the proposal as the company's disclosure and/or practices related to facility safety are broadly in line with market standard but could be enhanced.</w:t>
            </w:r>
          </w:p>
        </w:tc>
        <w:tc>
          <w:tcPr>
            <w:tcW w:w="1000" w:type="pct"/>
          </w:tcPr>
          <w:p w14:paraId="6097BA08" w14:textId="7AFE9EA8" w:rsidR="00B87524" w:rsidRPr="007F4127" w:rsidRDefault="00B87524" w:rsidP="004B3A31">
            <w:pPr>
              <w:pStyle w:val="BodyText"/>
              <w:spacing w:after="0"/>
              <w:jc w:val="center"/>
              <w:rPr>
                <w:sz w:val="16"/>
              </w:rPr>
            </w:pPr>
            <w:r w:rsidRPr="005801B7">
              <w:rPr>
                <w:sz w:val="16"/>
              </w:rPr>
              <w:t>This item does not merit support as S</w:t>
            </w:r>
            <w:r>
              <w:rPr>
                <w:sz w:val="16"/>
              </w:rPr>
              <w:t>tate Street</w:t>
            </w:r>
            <w:r w:rsidRPr="005801B7">
              <w:rPr>
                <w:sz w:val="16"/>
              </w:rPr>
              <w:t xml:space="preserve"> has concerns with the proposed remuneration structure for senior executives at the company.</w:t>
            </w:r>
          </w:p>
        </w:tc>
        <w:tc>
          <w:tcPr>
            <w:tcW w:w="1000" w:type="pct"/>
          </w:tcPr>
          <w:p w14:paraId="1A6B6DE5" w14:textId="542C75A3" w:rsidR="00B87524" w:rsidRPr="005801B7" w:rsidRDefault="00B87524" w:rsidP="004B3A31">
            <w:pPr>
              <w:pStyle w:val="BodyText"/>
              <w:spacing w:after="0"/>
              <w:jc w:val="center"/>
              <w:rPr>
                <w:sz w:val="16"/>
              </w:rPr>
            </w:pPr>
            <w:r>
              <w:rPr>
                <w:sz w:val="16"/>
              </w:rPr>
              <w:t>State Street</w:t>
            </w:r>
            <w:r w:rsidRPr="00B87524">
              <w:rPr>
                <w:sz w:val="16"/>
              </w:rPr>
              <w:t xml:space="preserve"> </w:t>
            </w:r>
            <w:r w:rsidR="00F103EE">
              <w:rPr>
                <w:sz w:val="16"/>
              </w:rPr>
              <w:t>is</w:t>
            </w:r>
            <w:r w:rsidR="00F103EE" w:rsidRPr="00B87524">
              <w:rPr>
                <w:sz w:val="16"/>
              </w:rPr>
              <w:t xml:space="preserve"> </w:t>
            </w:r>
            <w:r w:rsidRPr="00B87524">
              <w:rPr>
                <w:sz w:val="16"/>
              </w:rPr>
              <w:t>voting against the nominee due to the lack of gender diversity on the board.</w:t>
            </w:r>
          </w:p>
        </w:tc>
      </w:tr>
      <w:tr w:rsidR="00B87524" w:rsidRPr="007F4127" w14:paraId="131468F1" w14:textId="2663A95C" w:rsidTr="00B87524">
        <w:trPr>
          <w:cnfStyle w:val="000000010000" w:firstRow="0" w:lastRow="0" w:firstColumn="0" w:lastColumn="0" w:oddVBand="0" w:evenVBand="0" w:oddHBand="0" w:evenHBand="1" w:firstRowFirstColumn="0" w:firstRowLastColumn="0" w:lastRowFirstColumn="0" w:lastRowLastColumn="0"/>
        </w:trPr>
        <w:tc>
          <w:tcPr>
            <w:tcW w:w="1000" w:type="pct"/>
          </w:tcPr>
          <w:p w14:paraId="46F2FE4C" w14:textId="4D0A5ADF" w:rsidR="00B87524" w:rsidRPr="007F4127" w:rsidRDefault="00B87524" w:rsidP="004B3A31">
            <w:pPr>
              <w:pStyle w:val="BodyText"/>
              <w:spacing w:after="0"/>
              <w:jc w:val="left"/>
              <w:rPr>
                <w:b/>
                <w:sz w:val="16"/>
              </w:rPr>
            </w:pPr>
            <w:r w:rsidRPr="007F4127">
              <w:rPr>
                <w:b/>
                <w:sz w:val="16"/>
              </w:rPr>
              <w:t>Outcome of the vote</w:t>
            </w:r>
          </w:p>
        </w:tc>
        <w:tc>
          <w:tcPr>
            <w:tcW w:w="4000" w:type="pct"/>
            <w:gridSpan w:val="4"/>
          </w:tcPr>
          <w:p w14:paraId="5864E69E" w14:textId="0B94CE90" w:rsidR="00B87524" w:rsidRDefault="00B87524" w:rsidP="004B3A31">
            <w:pPr>
              <w:pStyle w:val="BodyText"/>
              <w:spacing w:after="0"/>
              <w:jc w:val="center"/>
              <w:rPr>
                <w:sz w:val="16"/>
              </w:rPr>
            </w:pPr>
            <w:r>
              <w:rPr>
                <w:sz w:val="16"/>
              </w:rPr>
              <w:t>This information was not provided by State Street</w:t>
            </w:r>
          </w:p>
        </w:tc>
      </w:tr>
      <w:tr w:rsidR="00B87524" w:rsidRPr="007F4127" w14:paraId="45A65379" w14:textId="31F01E15" w:rsidTr="00B87524">
        <w:trPr>
          <w:cnfStyle w:val="000000100000" w:firstRow="0" w:lastRow="0" w:firstColumn="0" w:lastColumn="0" w:oddVBand="0" w:evenVBand="0" w:oddHBand="1" w:evenHBand="0" w:firstRowFirstColumn="0" w:firstRowLastColumn="0" w:lastRowFirstColumn="0" w:lastRowLastColumn="0"/>
        </w:trPr>
        <w:tc>
          <w:tcPr>
            <w:tcW w:w="1000" w:type="pct"/>
          </w:tcPr>
          <w:p w14:paraId="43C832EB" w14:textId="46A95F3E" w:rsidR="00B87524" w:rsidRPr="007F4127" w:rsidRDefault="00B87524" w:rsidP="001919F9">
            <w:pPr>
              <w:pStyle w:val="BodyText"/>
              <w:spacing w:after="0"/>
              <w:jc w:val="left"/>
              <w:rPr>
                <w:b/>
                <w:sz w:val="16"/>
              </w:rPr>
            </w:pPr>
            <w:r>
              <w:rPr>
                <w:b/>
                <w:sz w:val="16"/>
              </w:rPr>
              <w:lastRenderedPageBreak/>
              <w:t>Implications of the outcome</w:t>
            </w:r>
          </w:p>
        </w:tc>
        <w:tc>
          <w:tcPr>
            <w:tcW w:w="4000" w:type="pct"/>
            <w:gridSpan w:val="4"/>
          </w:tcPr>
          <w:p w14:paraId="63BEC792" w14:textId="6B625A6B" w:rsidR="00B87524" w:rsidRPr="00405CE4" w:rsidRDefault="00B87524" w:rsidP="004B3A31">
            <w:pPr>
              <w:pStyle w:val="BodyText"/>
              <w:spacing w:after="0"/>
              <w:jc w:val="center"/>
              <w:rPr>
                <w:sz w:val="16"/>
              </w:rPr>
            </w:pPr>
            <w:r w:rsidRPr="00405CE4">
              <w:rPr>
                <w:sz w:val="16"/>
              </w:rPr>
              <w:t xml:space="preserve">Where appropriate </w:t>
            </w:r>
            <w:r>
              <w:rPr>
                <w:sz w:val="16"/>
              </w:rPr>
              <w:t>State Street</w:t>
            </w:r>
            <w:r w:rsidRPr="00405CE4">
              <w:rPr>
                <w:sz w:val="16"/>
              </w:rPr>
              <w:t xml:space="preserve"> will contact the company to explain </w:t>
            </w:r>
            <w:r>
              <w:rPr>
                <w:sz w:val="16"/>
              </w:rPr>
              <w:t>their</w:t>
            </w:r>
            <w:r w:rsidRPr="00405CE4">
              <w:rPr>
                <w:sz w:val="16"/>
              </w:rPr>
              <w:t xml:space="preserve"> voting rationale and conduct further engagement.</w:t>
            </w:r>
          </w:p>
        </w:tc>
      </w:tr>
      <w:tr w:rsidR="00B87524" w:rsidRPr="007F4127" w14:paraId="47F1F357" w14:textId="28FB11DE" w:rsidTr="002258B1">
        <w:trPr>
          <w:cnfStyle w:val="000000010000" w:firstRow="0" w:lastRow="0" w:firstColumn="0" w:lastColumn="0" w:oddVBand="0" w:evenVBand="0" w:oddHBand="0" w:evenHBand="1" w:firstRowFirstColumn="0" w:firstRowLastColumn="0" w:lastRowFirstColumn="0" w:lastRowLastColumn="0"/>
        </w:trPr>
        <w:tc>
          <w:tcPr>
            <w:tcW w:w="1000" w:type="pct"/>
          </w:tcPr>
          <w:p w14:paraId="3CB90396" w14:textId="134AA7A5" w:rsidR="00B87524" w:rsidRPr="007F4127" w:rsidRDefault="00B87524" w:rsidP="001919F9">
            <w:pPr>
              <w:pStyle w:val="BodyText"/>
              <w:spacing w:after="0"/>
              <w:jc w:val="left"/>
              <w:rPr>
                <w:b/>
                <w:sz w:val="16"/>
              </w:rPr>
            </w:pPr>
            <w:r>
              <w:rPr>
                <w:b/>
                <w:sz w:val="16"/>
              </w:rPr>
              <w:t xml:space="preserve">Criteria on which the vote is considered “significant” </w:t>
            </w:r>
          </w:p>
        </w:tc>
        <w:tc>
          <w:tcPr>
            <w:tcW w:w="1000" w:type="pct"/>
          </w:tcPr>
          <w:p w14:paraId="20CB6809" w14:textId="070273C9" w:rsidR="00B87524" w:rsidRPr="007F4127" w:rsidRDefault="00B87524" w:rsidP="004B3A31">
            <w:pPr>
              <w:pStyle w:val="BodyText"/>
              <w:spacing w:after="0"/>
              <w:jc w:val="center"/>
              <w:rPr>
                <w:sz w:val="16"/>
              </w:rPr>
            </w:pPr>
            <w:r>
              <w:rPr>
                <w:sz w:val="16"/>
              </w:rPr>
              <w:t>State Street consider</w:t>
            </w:r>
            <w:r w:rsidR="00F103EE">
              <w:rPr>
                <w:sz w:val="16"/>
              </w:rPr>
              <w:t>s</w:t>
            </w:r>
            <w:r>
              <w:rPr>
                <w:sz w:val="16"/>
              </w:rPr>
              <w:t xml:space="preserve"> votes on environmental related proposals to be significant</w:t>
            </w:r>
            <w:r w:rsidRPr="00C74FEE">
              <w:rPr>
                <w:sz w:val="16"/>
              </w:rPr>
              <w:t>.</w:t>
            </w:r>
          </w:p>
        </w:tc>
        <w:tc>
          <w:tcPr>
            <w:tcW w:w="1000" w:type="pct"/>
          </w:tcPr>
          <w:p w14:paraId="3662F33E" w14:textId="682A7ABA" w:rsidR="00B87524" w:rsidRPr="007F4127" w:rsidRDefault="00B87524" w:rsidP="004B3A31">
            <w:pPr>
              <w:pStyle w:val="BodyText"/>
              <w:spacing w:after="0"/>
              <w:jc w:val="center"/>
              <w:rPr>
                <w:sz w:val="16"/>
              </w:rPr>
            </w:pPr>
            <w:r>
              <w:rPr>
                <w:sz w:val="16"/>
              </w:rPr>
              <w:t>State Street consider</w:t>
            </w:r>
            <w:r w:rsidR="00F103EE">
              <w:rPr>
                <w:sz w:val="16"/>
              </w:rPr>
              <w:t>s</w:t>
            </w:r>
            <w:r>
              <w:rPr>
                <w:sz w:val="16"/>
              </w:rPr>
              <w:t xml:space="preserve"> votes on environmental and social related proposals to be significant</w:t>
            </w:r>
            <w:r w:rsidRPr="00C74FEE">
              <w:rPr>
                <w:sz w:val="16"/>
              </w:rPr>
              <w:t>.</w:t>
            </w:r>
          </w:p>
        </w:tc>
        <w:tc>
          <w:tcPr>
            <w:tcW w:w="1000" w:type="pct"/>
          </w:tcPr>
          <w:p w14:paraId="0D1A606D" w14:textId="649009D8" w:rsidR="00B87524" w:rsidRPr="007F4127" w:rsidRDefault="00B87524" w:rsidP="004B3A31">
            <w:pPr>
              <w:pStyle w:val="BodyText"/>
              <w:spacing w:after="0"/>
              <w:jc w:val="center"/>
              <w:rPr>
                <w:sz w:val="16"/>
              </w:rPr>
            </w:pPr>
            <w:r>
              <w:rPr>
                <w:sz w:val="16"/>
              </w:rPr>
              <w:t>State Street consider</w:t>
            </w:r>
            <w:r w:rsidR="00F103EE">
              <w:rPr>
                <w:sz w:val="16"/>
              </w:rPr>
              <w:t>s</w:t>
            </w:r>
            <w:r>
              <w:rPr>
                <w:sz w:val="16"/>
              </w:rPr>
              <w:t xml:space="preserve"> votes on compensation to be significant</w:t>
            </w:r>
            <w:r w:rsidRPr="00C74FEE">
              <w:rPr>
                <w:sz w:val="16"/>
              </w:rPr>
              <w:t>.</w:t>
            </w:r>
          </w:p>
        </w:tc>
        <w:tc>
          <w:tcPr>
            <w:tcW w:w="1000" w:type="pct"/>
          </w:tcPr>
          <w:p w14:paraId="42E945B8" w14:textId="38AE370B" w:rsidR="00B87524" w:rsidRDefault="00B87524" w:rsidP="004B3A31">
            <w:pPr>
              <w:pStyle w:val="BodyText"/>
              <w:spacing w:after="0"/>
              <w:jc w:val="center"/>
              <w:rPr>
                <w:sz w:val="16"/>
              </w:rPr>
            </w:pPr>
            <w:r>
              <w:rPr>
                <w:sz w:val="16"/>
              </w:rPr>
              <w:t>State Street consider</w:t>
            </w:r>
            <w:r w:rsidR="00F103EE">
              <w:rPr>
                <w:sz w:val="16"/>
              </w:rPr>
              <w:t>s</w:t>
            </w:r>
            <w:r>
              <w:rPr>
                <w:sz w:val="16"/>
              </w:rPr>
              <w:t xml:space="preserve"> votes on director election to be significant</w:t>
            </w:r>
          </w:p>
        </w:tc>
      </w:tr>
    </w:tbl>
    <w:p w14:paraId="1BBD0FF8" w14:textId="2F8EB946" w:rsidR="001D606F" w:rsidRDefault="001D606F" w:rsidP="004A5EEF">
      <w:pPr>
        <w:pStyle w:val="Heading3"/>
      </w:pPr>
      <w:r>
        <w:t>Fund level engagement</w:t>
      </w:r>
    </w:p>
    <w:p w14:paraId="11667B57" w14:textId="3715D41C" w:rsidR="009842CE" w:rsidRDefault="009842CE" w:rsidP="009842CE">
      <w:pPr>
        <w:pStyle w:val="BodyText"/>
      </w:pPr>
      <w:r w:rsidRPr="009842CE">
        <w:t xml:space="preserve">The </w:t>
      </w:r>
      <w:r w:rsidR="002F62C4">
        <w:t>fund</w:t>
      </w:r>
      <w:r w:rsidR="002F62C4" w:rsidRPr="009842CE">
        <w:t xml:space="preserve"> </w:t>
      </w:r>
      <w:r w:rsidRPr="009842CE">
        <w:t xml:space="preserve">managers may engage with investee companies on behalf of the Trustee. The table below provides a summary of the engagement activities undertaken by each </w:t>
      </w:r>
      <w:r w:rsidR="002F62C4">
        <w:t xml:space="preserve">fund </w:t>
      </w:r>
      <w:r w:rsidRPr="009842CE">
        <w:t>manager during the year for the relevant funds.</w:t>
      </w:r>
    </w:p>
    <w:p w14:paraId="7C2227ED" w14:textId="15197A6F" w:rsidR="00436617" w:rsidRPr="009842CE" w:rsidRDefault="00B96F92" w:rsidP="009842CE">
      <w:pPr>
        <w:pStyle w:val="BodyText"/>
      </w:pPr>
      <w:r w:rsidRPr="00B96F92">
        <w:t>State Street carry out engagement activities at a firm-wide level</w:t>
      </w:r>
      <w:r>
        <w:t xml:space="preserve">. </w:t>
      </w:r>
      <w:r w:rsidR="00436617" w:rsidRPr="00436617">
        <w:t xml:space="preserve">Engagement activities are limited for the Scheme’s LDI and </w:t>
      </w:r>
      <w:r>
        <w:t>liquidity</w:t>
      </w:r>
      <w:r w:rsidRPr="00436617">
        <w:t xml:space="preserve"> </w:t>
      </w:r>
      <w:r w:rsidR="00436617" w:rsidRPr="00436617">
        <w:t xml:space="preserve">funds due to the nature of the underlying holdings, so engagement information for these assets have not been shown.  </w:t>
      </w:r>
    </w:p>
    <w:tbl>
      <w:tblPr>
        <w:tblStyle w:val="bwTable"/>
        <w:tblW w:w="5000" w:type="pct"/>
        <w:tblLook w:val="04A0" w:firstRow="1" w:lastRow="0" w:firstColumn="1" w:lastColumn="0" w:noHBand="0" w:noVBand="1"/>
      </w:tblPr>
      <w:tblGrid>
        <w:gridCol w:w="3290"/>
        <w:gridCol w:w="3289"/>
        <w:gridCol w:w="3287"/>
      </w:tblGrid>
      <w:tr w:rsidR="007B474C" w:rsidRPr="007F4127" w14:paraId="0C16E697" w14:textId="77777777" w:rsidTr="007B474C">
        <w:trPr>
          <w:cnfStyle w:val="100000000000" w:firstRow="1" w:lastRow="0" w:firstColumn="0" w:lastColumn="0" w:oddVBand="0" w:evenVBand="0" w:oddHBand="0" w:evenHBand="0" w:firstRowFirstColumn="0" w:firstRowLastColumn="0" w:lastRowFirstColumn="0" w:lastRowLastColumn="0"/>
          <w:tblHeader/>
        </w:trPr>
        <w:tc>
          <w:tcPr>
            <w:tcW w:w="1667" w:type="pct"/>
          </w:tcPr>
          <w:p w14:paraId="10F693E7" w14:textId="77777777" w:rsidR="007B474C" w:rsidRPr="007F4127" w:rsidRDefault="007B474C" w:rsidP="00123191">
            <w:pPr>
              <w:pStyle w:val="BodyText"/>
              <w:spacing w:after="0"/>
              <w:jc w:val="left"/>
              <w:rPr>
                <w:b/>
                <w:sz w:val="16"/>
              </w:rPr>
            </w:pPr>
            <w:r w:rsidRPr="007F4127">
              <w:rPr>
                <w:b/>
                <w:sz w:val="16"/>
              </w:rPr>
              <w:t>Manager</w:t>
            </w:r>
          </w:p>
        </w:tc>
        <w:tc>
          <w:tcPr>
            <w:tcW w:w="1667" w:type="pct"/>
          </w:tcPr>
          <w:p w14:paraId="5E94C74E" w14:textId="7F3430C3" w:rsidR="007B474C" w:rsidRPr="007F4127" w:rsidRDefault="007B474C" w:rsidP="00123191">
            <w:pPr>
              <w:pStyle w:val="BodyText"/>
              <w:spacing w:after="0"/>
              <w:jc w:val="center"/>
              <w:rPr>
                <w:b/>
                <w:sz w:val="16"/>
              </w:rPr>
            </w:pPr>
            <w:r>
              <w:rPr>
                <w:b/>
                <w:sz w:val="16"/>
              </w:rPr>
              <w:t>State Street</w:t>
            </w:r>
          </w:p>
        </w:tc>
        <w:tc>
          <w:tcPr>
            <w:tcW w:w="1667" w:type="pct"/>
          </w:tcPr>
          <w:p w14:paraId="0CAED2A1" w14:textId="60A6F8F2" w:rsidR="007B474C" w:rsidRPr="007F4127" w:rsidRDefault="007B474C" w:rsidP="00123191">
            <w:pPr>
              <w:pStyle w:val="BodyText"/>
              <w:spacing w:after="0"/>
              <w:jc w:val="center"/>
              <w:rPr>
                <w:b/>
                <w:sz w:val="16"/>
              </w:rPr>
            </w:pPr>
            <w:r>
              <w:rPr>
                <w:b/>
                <w:sz w:val="16"/>
              </w:rPr>
              <w:t>Insight</w:t>
            </w:r>
          </w:p>
        </w:tc>
      </w:tr>
      <w:tr w:rsidR="007B474C" w:rsidRPr="007F4127" w14:paraId="7A8CFB7B" w14:textId="77777777" w:rsidTr="007B474C">
        <w:trPr>
          <w:cnfStyle w:val="000000100000" w:firstRow="0" w:lastRow="0" w:firstColumn="0" w:lastColumn="0" w:oddVBand="0" w:evenVBand="0" w:oddHBand="1" w:evenHBand="0" w:firstRowFirstColumn="0" w:firstRowLastColumn="0" w:lastRowFirstColumn="0" w:lastRowLastColumn="0"/>
        </w:trPr>
        <w:tc>
          <w:tcPr>
            <w:tcW w:w="1667" w:type="pct"/>
          </w:tcPr>
          <w:p w14:paraId="6598D8E3" w14:textId="77777777" w:rsidR="007B474C" w:rsidRPr="007F4127" w:rsidRDefault="007B474C" w:rsidP="00123191">
            <w:pPr>
              <w:pStyle w:val="BodyText"/>
              <w:spacing w:after="0"/>
              <w:jc w:val="left"/>
              <w:rPr>
                <w:b/>
                <w:sz w:val="16"/>
              </w:rPr>
            </w:pPr>
            <w:r w:rsidRPr="007F4127">
              <w:rPr>
                <w:b/>
                <w:sz w:val="16"/>
              </w:rPr>
              <w:t>Fund name</w:t>
            </w:r>
          </w:p>
        </w:tc>
        <w:tc>
          <w:tcPr>
            <w:tcW w:w="1667" w:type="pct"/>
          </w:tcPr>
          <w:p w14:paraId="33C578D9" w14:textId="00A7E85A" w:rsidR="007B474C" w:rsidRPr="007F4127" w:rsidRDefault="007B474C" w:rsidP="00123191">
            <w:pPr>
              <w:pStyle w:val="BodyText"/>
              <w:spacing w:after="0"/>
              <w:jc w:val="center"/>
              <w:rPr>
                <w:sz w:val="16"/>
              </w:rPr>
            </w:pPr>
            <w:r>
              <w:rPr>
                <w:sz w:val="16"/>
              </w:rPr>
              <w:t>All World ESG Screened Index Equity Sub-Fund</w:t>
            </w:r>
          </w:p>
        </w:tc>
        <w:tc>
          <w:tcPr>
            <w:tcW w:w="1667" w:type="pct"/>
          </w:tcPr>
          <w:p w14:paraId="39B9E464" w14:textId="411FC022" w:rsidR="007B474C" w:rsidRPr="007F4127" w:rsidRDefault="007B474C" w:rsidP="00123191">
            <w:pPr>
              <w:pStyle w:val="BodyText"/>
              <w:spacing w:after="0"/>
              <w:jc w:val="center"/>
              <w:rPr>
                <w:sz w:val="16"/>
              </w:rPr>
            </w:pPr>
            <w:r>
              <w:rPr>
                <w:sz w:val="16"/>
              </w:rPr>
              <w:t>High Grade ABS Fund</w:t>
            </w:r>
          </w:p>
        </w:tc>
      </w:tr>
      <w:tr w:rsidR="007B474C" w:rsidRPr="007F4127" w14:paraId="5B2DB137" w14:textId="77777777" w:rsidTr="007B474C">
        <w:trPr>
          <w:cnfStyle w:val="000000010000" w:firstRow="0" w:lastRow="0" w:firstColumn="0" w:lastColumn="0" w:oddVBand="0" w:evenVBand="0" w:oddHBand="0" w:evenHBand="1" w:firstRowFirstColumn="0" w:firstRowLastColumn="0" w:lastRowFirstColumn="0" w:lastRowLastColumn="0"/>
        </w:trPr>
        <w:tc>
          <w:tcPr>
            <w:tcW w:w="1667" w:type="pct"/>
          </w:tcPr>
          <w:p w14:paraId="7D9AB777" w14:textId="52B01A8F" w:rsidR="007B474C" w:rsidRDefault="007B474C" w:rsidP="001919F9">
            <w:pPr>
              <w:pStyle w:val="BodyText"/>
              <w:spacing w:after="0"/>
              <w:jc w:val="left"/>
              <w:rPr>
                <w:b/>
                <w:sz w:val="16"/>
              </w:rPr>
            </w:pPr>
            <w:r>
              <w:rPr>
                <w:b/>
                <w:sz w:val="16"/>
              </w:rPr>
              <w:t>Number of</w:t>
            </w:r>
            <w:r w:rsidRPr="001D606F">
              <w:rPr>
                <w:b/>
                <w:sz w:val="16"/>
              </w:rPr>
              <w:t xml:space="preserve"> engagements undertaken on behalf of the holdings in this fund in the year</w:t>
            </w:r>
          </w:p>
        </w:tc>
        <w:tc>
          <w:tcPr>
            <w:tcW w:w="1667" w:type="pct"/>
          </w:tcPr>
          <w:p w14:paraId="337D4AE4" w14:textId="7C6F7E16" w:rsidR="007B474C" w:rsidRPr="007F4127" w:rsidRDefault="007B474C" w:rsidP="001D606F">
            <w:pPr>
              <w:pStyle w:val="BodyText"/>
              <w:spacing w:after="0"/>
              <w:jc w:val="center"/>
              <w:rPr>
                <w:sz w:val="16"/>
              </w:rPr>
            </w:pPr>
            <w:r>
              <w:rPr>
                <w:sz w:val="16"/>
              </w:rPr>
              <w:t>641</w:t>
            </w:r>
          </w:p>
        </w:tc>
        <w:tc>
          <w:tcPr>
            <w:tcW w:w="1667" w:type="pct"/>
          </w:tcPr>
          <w:p w14:paraId="68AECDA4" w14:textId="22C0156F" w:rsidR="007B474C" w:rsidRPr="007F4127" w:rsidRDefault="008C59C9" w:rsidP="00123191">
            <w:pPr>
              <w:pStyle w:val="BodyText"/>
              <w:spacing w:after="0"/>
              <w:jc w:val="center"/>
              <w:rPr>
                <w:sz w:val="16"/>
              </w:rPr>
            </w:pPr>
            <w:r>
              <w:rPr>
                <w:sz w:val="16"/>
              </w:rPr>
              <w:t>c.50</w:t>
            </w:r>
          </w:p>
        </w:tc>
      </w:tr>
      <w:tr w:rsidR="00FE38B0" w:rsidRPr="007F4127" w14:paraId="39117045" w14:textId="77777777" w:rsidTr="007B474C">
        <w:trPr>
          <w:cnfStyle w:val="000000100000" w:firstRow="0" w:lastRow="0" w:firstColumn="0" w:lastColumn="0" w:oddVBand="0" w:evenVBand="0" w:oddHBand="1" w:evenHBand="0" w:firstRowFirstColumn="0" w:firstRowLastColumn="0" w:lastRowFirstColumn="0" w:lastRowLastColumn="0"/>
        </w:trPr>
        <w:tc>
          <w:tcPr>
            <w:tcW w:w="1667" w:type="pct"/>
          </w:tcPr>
          <w:p w14:paraId="1FEF9697" w14:textId="7BC24B24" w:rsidR="00FE38B0" w:rsidRDefault="00FE38B0" w:rsidP="001919F9">
            <w:pPr>
              <w:pStyle w:val="BodyText"/>
              <w:spacing w:after="0"/>
              <w:jc w:val="left"/>
              <w:rPr>
                <w:b/>
                <w:sz w:val="16"/>
              </w:rPr>
            </w:pPr>
            <w:r>
              <w:rPr>
                <w:b/>
                <w:sz w:val="16"/>
              </w:rPr>
              <w:t>Number of</w:t>
            </w:r>
            <w:r w:rsidRPr="001D606F">
              <w:rPr>
                <w:b/>
                <w:sz w:val="16"/>
              </w:rPr>
              <w:t xml:space="preserve"> engagements undertaken on behalf of the holdings</w:t>
            </w:r>
            <w:r>
              <w:rPr>
                <w:b/>
                <w:sz w:val="16"/>
              </w:rPr>
              <w:t xml:space="preserve"> on environmental topics</w:t>
            </w:r>
            <w:r w:rsidRPr="001D606F">
              <w:rPr>
                <w:b/>
                <w:sz w:val="16"/>
              </w:rPr>
              <w:t xml:space="preserve"> in this fund in the year</w:t>
            </w:r>
            <w:r w:rsidR="006A05BE">
              <w:rPr>
                <w:b/>
                <w:sz w:val="16"/>
              </w:rPr>
              <w:t>*</w:t>
            </w:r>
          </w:p>
        </w:tc>
        <w:tc>
          <w:tcPr>
            <w:tcW w:w="1667" w:type="pct"/>
          </w:tcPr>
          <w:p w14:paraId="4570D6AD" w14:textId="0D7AC147" w:rsidR="00FE38B0" w:rsidRDefault="0013731C" w:rsidP="001D606F">
            <w:pPr>
              <w:pStyle w:val="BodyText"/>
              <w:spacing w:after="0"/>
              <w:jc w:val="center"/>
              <w:rPr>
                <w:sz w:val="16"/>
              </w:rPr>
            </w:pPr>
            <w:r>
              <w:rPr>
                <w:sz w:val="16"/>
              </w:rPr>
              <w:t>201</w:t>
            </w:r>
          </w:p>
        </w:tc>
        <w:tc>
          <w:tcPr>
            <w:tcW w:w="1667" w:type="pct"/>
          </w:tcPr>
          <w:p w14:paraId="14E8910E" w14:textId="7305DE8D" w:rsidR="00FE38B0" w:rsidRDefault="00FE38B0" w:rsidP="00123191">
            <w:pPr>
              <w:pStyle w:val="BodyText"/>
              <w:spacing w:after="0"/>
              <w:jc w:val="center"/>
              <w:rPr>
                <w:sz w:val="16"/>
              </w:rPr>
            </w:pPr>
            <w:r>
              <w:rPr>
                <w:sz w:val="16"/>
              </w:rPr>
              <w:t>Not provided</w:t>
            </w:r>
          </w:p>
        </w:tc>
      </w:tr>
      <w:tr w:rsidR="00FE38B0" w:rsidRPr="007F4127" w14:paraId="1F7F3BE8" w14:textId="77777777" w:rsidTr="007B474C">
        <w:trPr>
          <w:cnfStyle w:val="000000010000" w:firstRow="0" w:lastRow="0" w:firstColumn="0" w:lastColumn="0" w:oddVBand="0" w:evenVBand="0" w:oddHBand="0" w:evenHBand="1" w:firstRowFirstColumn="0" w:firstRowLastColumn="0" w:lastRowFirstColumn="0" w:lastRowLastColumn="0"/>
        </w:trPr>
        <w:tc>
          <w:tcPr>
            <w:tcW w:w="1667" w:type="pct"/>
          </w:tcPr>
          <w:p w14:paraId="63CD89D8" w14:textId="5F36A24A" w:rsidR="00FE38B0" w:rsidRDefault="00FE38B0" w:rsidP="001919F9">
            <w:pPr>
              <w:pStyle w:val="BodyText"/>
              <w:spacing w:after="0"/>
              <w:jc w:val="left"/>
              <w:rPr>
                <w:b/>
                <w:sz w:val="16"/>
              </w:rPr>
            </w:pPr>
            <w:r>
              <w:rPr>
                <w:b/>
                <w:sz w:val="16"/>
              </w:rPr>
              <w:t>Number of</w:t>
            </w:r>
            <w:r w:rsidRPr="001D606F">
              <w:rPr>
                <w:b/>
                <w:sz w:val="16"/>
              </w:rPr>
              <w:t xml:space="preserve"> engagements undertaken on behalf of the holdings</w:t>
            </w:r>
            <w:r>
              <w:rPr>
                <w:b/>
                <w:sz w:val="16"/>
              </w:rPr>
              <w:t xml:space="preserve"> on social topics</w:t>
            </w:r>
            <w:r w:rsidRPr="001D606F">
              <w:rPr>
                <w:b/>
                <w:sz w:val="16"/>
              </w:rPr>
              <w:t xml:space="preserve"> in this fund in the year</w:t>
            </w:r>
            <w:r w:rsidR="006A05BE">
              <w:rPr>
                <w:b/>
                <w:sz w:val="16"/>
              </w:rPr>
              <w:t>*</w:t>
            </w:r>
          </w:p>
        </w:tc>
        <w:tc>
          <w:tcPr>
            <w:tcW w:w="1667" w:type="pct"/>
          </w:tcPr>
          <w:p w14:paraId="5F2E021A" w14:textId="0A774E49" w:rsidR="00FE38B0" w:rsidRDefault="006A05BE" w:rsidP="001D606F">
            <w:pPr>
              <w:pStyle w:val="BodyText"/>
              <w:spacing w:after="0"/>
              <w:jc w:val="center"/>
              <w:rPr>
                <w:sz w:val="16"/>
              </w:rPr>
            </w:pPr>
            <w:r>
              <w:rPr>
                <w:sz w:val="16"/>
              </w:rPr>
              <w:t>211</w:t>
            </w:r>
          </w:p>
        </w:tc>
        <w:tc>
          <w:tcPr>
            <w:tcW w:w="1667" w:type="pct"/>
          </w:tcPr>
          <w:p w14:paraId="03138919" w14:textId="3C483D37" w:rsidR="00FE38B0" w:rsidRDefault="00FE38B0" w:rsidP="00123191">
            <w:pPr>
              <w:pStyle w:val="BodyText"/>
              <w:spacing w:after="0"/>
              <w:jc w:val="center"/>
              <w:rPr>
                <w:sz w:val="16"/>
              </w:rPr>
            </w:pPr>
            <w:r>
              <w:rPr>
                <w:sz w:val="16"/>
              </w:rPr>
              <w:t>Not provided</w:t>
            </w:r>
          </w:p>
        </w:tc>
      </w:tr>
      <w:tr w:rsidR="00FE38B0" w:rsidRPr="007F4127" w14:paraId="03814E2D" w14:textId="77777777" w:rsidTr="007B474C">
        <w:trPr>
          <w:cnfStyle w:val="000000100000" w:firstRow="0" w:lastRow="0" w:firstColumn="0" w:lastColumn="0" w:oddVBand="0" w:evenVBand="0" w:oddHBand="1" w:evenHBand="0" w:firstRowFirstColumn="0" w:firstRowLastColumn="0" w:lastRowFirstColumn="0" w:lastRowLastColumn="0"/>
        </w:trPr>
        <w:tc>
          <w:tcPr>
            <w:tcW w:w="1667" w:type="pct"/>
          </w:tcPr>
          <w:p w14:paraId="310EA277" w14:textId="6616FDD0" w:rsidR="00FE38B0" w:rsidRDefault="00FE38B0" w:rsidP="001919F9">
            <w:pPr>
              <w:pStyle w:val="BodyText"/>
              <w:spacing w:after="0"/>
              <w:jc w:val="left"/>
              <w:rPr>
                <w:b/>
                <w:sz w:val="16"/>
              </w:rPr>
            </w:pPr>
            <w:r>
              <w:rPr>
                <w:b/>
                <w:sz w:val="16"/>
              </w:rPr>
              <w:t>Number of</w:t>
            </w:r>
            <w:r w:rsidRPr="001D606F">
              <w:rPr>
                <w:b/>
                <w:sz w:val="16"/>
              </w:rPr>
              <w:t xml:space="preserve"> engagements undertaken on behalf of the holdings</w:t>
            </w:r>
            <w:r>
              <w:rPr>
                <w:b/>
                <w:sz w:val="16"/>
              </w:rPr>
              <w:t xml:space="preserve"> on governance topics</w:t>
            </w:r>
            <w:r w:rsidRPr="001D606F">
              <w:rPr>
                <w:b/>
                <w:sz w:val="16"/>
              </w:rPr>
              <w:t xml:space="preserve"> in this fund in the year</w:t>
            </w:r>
            <w:r w:rsidR="006A05BE">
              <w:rPr>
                <w:b/>
                <w:sz w:val="16"/>
              </w:rPr>
              <w:t>*</w:t>
            </w:r>
          </w:p>
        </w:tc>
        <w:tc>
          <w:tcPr>
            <w:tcW w:w="1667" w:type="pct"/>
          </w:tcPr>
          <w:p w14:paraId="197B6DA6" w14:textId="48568E3F" w:rsidR="00FE38B0" w:rsidRDefault="006A05BE" w:rsidP="001D606F">
            <w:pPr>
              <w:pStyle w:val="BodyText"/>
              <w:spacing w:after="0"/>
              <w:jc w:val="center"/>
              <w:rPr>
                <w:sz w:val="16"/>
              </w:rPr>
            </w:pPr>
            <w:r>
              <w:rPr>
                <w:sz w:val="16"/>
              </w:rPr>
              <w:t>308</w:t>
            </w:r>
          </w:p>
        </w:tc>
        <w:tc>
          <w:tcPr>
            <w:tcW w:w="1667" w:type="pct"/>
          </w:tcPr>
          <w:p w14:paraId="2F2A440C" w14:textId="3F05663E" w:rsidR="00FE38B0" w:rsidRDefault="00FE38B0" w:rsidP="00123191">
            <w:pPr>
              <w:pStyle w:val="BodyText"/>
              <w:spacing w:after="0"/>
              <w:jc w:val="center"/>
              <w:rPr>
                <w:sz w:val="16"/>
              </w:rPr>
            </w:pPr>
            <w:r>
              <w:rPr>
                <w:sz w:val="16"/>
              </w:rPr>
              <w:t>Not provided</w:t>
            </w:r>
          </w:p>
        </w:tc>
      </w:tr>
      <w:tr w:rsidR="007B474C" w:rsidRPr="007F4127" w14:paraId="7C95460E" w14:textId="77777777" w:rsidTr="007B474C">
        <w:trPr>
          <w:cnfStyle w:val="000000010000" w:firstRow="0" w:lastRow="0" w:firstColumn="0" w:lastColumn="0" w:oddVBand="0" w:evenVBand="0" w:oddHBand="0" w:evenHBand="1" w:firstRowFirstColumn="0" w:firstRowLastColumn="0" w:lastRowFirstColumn="0" w:lastRowLastColumn="0"/>
        </w:trPr>
        <w:tc>
          <w:tcPr>
            <w:tcW w:w="1667" w:type="pct"/>
          </w:tcPr>
          <w:p w14:paraId="19C55191" w14:textId="0F4F7DE1" w:rsidR="007B474C" w:rsidRDefault="007B474C" w:rsidP="00951480">
            <w:pPr>
              <w:pStyle w:val="BodyText"/>
              <w:spacing w:after="0"/>
              <w:jc w:val="left"/>
              <w:rPr>
                <w:b/>
                <w:sz w:val="16"/>
              </w:rPr>
            </w:pPr>
            <w:r>
              <w:rPr>
                <w:b/>
                <w:sz w:val="16"/>
              </w:rPr>
              <w:t>Number of</w:t>
            </w:r>
            <w:r w:rsidRPr="001D606F">
              <w:rPr>
                <w:b/>
                <w:sz w:val="16"/>
              </w:rPr>
              <w:t xml:space="preserve"> </w:t>
            </w:r>
            <w:r>
              <w:rPr>
                <w:b/>
                <w:sz w:val="16"/>
              </w:rPr>
              <w:t xml:space="preserve">entities engaged </w:t>
            </w:r>
            <w:r w:rsidRPr="001D606F">
              <w:rPr>
                <w:b/>
                <w:sz w:val="16"/>
              </w:rPr>
              <w:t>on behalf of the holdings in this fund in the year</w:t>
            </w:r>
          </w:p>
        </w:tc>
        <w:tc>
          <w:tcPr>
            <w:tcW w:w="1667" w:type="pct"/>
          </w:tcPr>
          <w:p w14:paraId="41D6F54D" w14:textId="674FE3A0" w:rsidR="007B474C" w:rsidRPr="007F4127" w:rsidRDefault="007B474C" w:rsidP="001D606F">
            <w:pPr>
              <w:pStyle w:val="BodyText"/>
              <w:spacing w:after="0"/>
              <w:jc w:val="center"/>
              <w:rPr>
                <w:sz w:val="16"/>
              </w:rPr>
            </w:pPr>
            <w:r>
              <w:rPr>
                <w:sz w:val="16"/>
              </w:rPr>
              <w:t>410</w:t>
            </w:r>
          </w:p>
        </w:tc>
        <w:tc>
          <w:tcPr>
            <w:tcW w:w="1667" w:type="pct"/>
          </w:tcPr>
          <w:p w14:paraId="6E8D6BB4" w14:textId="5BFEECB8" w:rsidR="007B474C" w:rsidRPr="007F4127" w:rsidRDefault="008C59C9" w:rsidP="00123191">
            <w:pPr>
              <w:pStyle w:val="BodyText"/>
              <w:spacing w:after="0"/>
              <w:jc w:val="center"/>
              <w:rPr>
                <w:sz w:val="16"/>
              </w:rPr>
            </w:pPr>
            <w:r>
              <w:rPr>
                <w:sz w:val="16"/>
              </w:rPr>
              <w:t>c.40</w:t>
            </w:r>
          </w:p>
        </w:tc>
      </w:tr>
      <w:tr w:rsidR="007B474C" w:rsidRPr="007F4127" w14:paraId="623AD673" w14:textId="77777777" w:rsidTr="007B474C">
        <w:trPr>
          <w:cnfStyle w:val="000000100000" w:firstRow="0" w:lastRow="0" w:firstColumn="0" w:lastColumn="0" w:oddVBand="0" w:evenVBand="0" w:oddHBand="1" w:evenHBand="0" w:firstRowFirstColumn="0" w:firstRowLastColumn="0" w:lastRowFirstColumn="0" w:lastRowLastColumn="0"/>
        </w:trPr>
        <w:tc>
          <w:tcPr>
            <w:tcW w:w="1667" w:type="pct"/>
          </w:tcPr>
          <w:p w14:paraId="40C44B16" w14:textId="3FA98295" w:rsidR="007B474C" w:rsidRDefault="007B474C" w:rsidP="001919F9">
            <w:pPr>
              <w:pStyle w:val="BodyText"/>
              <w:spacing w:after="0"/>
              <w:jc w:val="left"/>
              <w:rPr>
                <w:b/>
                <w:sz w:val="16"/>
              </w:rPr>
            </w:pPr>
            <w:r>
              <w:rPr>
                <w:b/>
                <w:sz w:val="16"/>
              </w:rPr>
              <w:t xml:space="preserve">Number of </w:t>
            </w:r>
            <w:r w:rsidRPr="001D606F">
              <w:rPr>
                <w:b/>
                <w:sz w:val="16"/>
              </w:rPr>
              <w:t>engagements underta</w:t>
            </w:r>
            <w:r>
              <w:rPr>
                <w:b/>
                <w:sz w:val="16"/>
              </w:rPr>
              <w:t>ken at a firm level in the year</w:t>
            </w:r>
          </w:p>
        </w:tc>
        <w:tc>
          <w:tcPr>
            <w:tcW w:w="1667" w:type="pct"/>
          </w:tcPr>
          <w:p w14:paraId="458174A4" w14:textId="57BF651B" w:rsidR="007B474C" w:rsidRPr="007F4127" w:rsidRDefault="007B474C" w:rsidP="001D606F">
            <w:pPr>
              <w:pStyle w:val="BodyText"/>
              <w:spacing w:after="0"/>
              <w:jc w:val="center"/>
              <w:rPr>
                <w:sz w:val="16"/>
              </w:rPr>
            </w:pPr>
            <w:r>
              <w:rPr>
                <w:sz w:val="16"/>
              </w:rPr>
              <w:t>878</w:t>
            </w:r>
          </w:p>
        </w:tc>
        <w:tc>
          <w:tcPr>
            <w:tcW w:w="1667" w:type="pct"/>
          </w:tcPr>
          <w:p w14:paraId="126495C4" w14:textId="07B23607" w:rsidR="007B474C" w:rsidRPr="007F4127" w:rsidRDefault="007B474C" w:rsidP="00123191">
            <w:pPr>
              <w:pStyle w:val="BodyText"/>
              <w:spacing w:after="0"/>
              <w:jc w:val="center"/>
              <w:rPr>
                <w:sz w:val="16"/>
              </w:rPr>
            </w:pPr>
            <w:r>
              <w:rPr>
                <w:sz w:val="16"/>
              </w:rPr>
              <w:t>1178</w:t>
            </w:r>
          </w:p>
        </w:tc>
      </w:tr>
    </w:tbl>
    <w:p w14:paraId="59A1870F" w14:textId="4D696D0D" w:rsidR="006A05BE" w:rsidRDefault="006A05BE" w:rsidP="002258B1">
      <w:pPr>
        <w:pStyle w:val="BodyText"/>
      </w:pPr>
      <w:r>
        <w:t>*There may be some double counting over topics, meaning the sum of the three is larger than the total engagements.</w:t>
      </w:r>
    </w:p>
    <w:p w14:paraId="4CA0D9E9" w14:textId="6F9C48CB" w:rsidR="00895DFD" w:rsidRDefault="00895DFD" w:rsidP="00895DFD">
      <w:pPr>
        <w:pStyle w:val="Heading3"/>
      </w:pPr>
      <w:r w:rsidRPr="00506954">
        <w:t>Examples of engagement</w:t>
      </w:r>
      <w:r>
        <w:t xml:space="preserve"> activity</w:t>
      </w:r>
      <w:r w:rsidRPr="00506954">
        <w:t xml:space="preserve"> undertaken </w:t>
      </w:r>
      <w:r>
        <w:t xml:space="preserve">over the year to </w:t>
      </w:r>
      <w:r w:rsidR="008C59C9">
        <w:t>31 March 2023</w:t>
      </w:r>
    </w:p>
    <w:p w14:paraId="46B60E36" w14:textId="5B76FDF4" w:rsidR="00895DFD" w:rsidRDefault="00331E6A" w:rsidP="00895DFD">
      <w:pPr>
        <w:pStyle w:val="BodyText"/>
        <w:rPr>
          <w:b/>
          <w:color w:val="0069B4" w:themeColor="text2"/>
        </w:rPr>
      </w:pPr>
      <w:r>
        <w:rPr>
          <w:b/>
          <w:color w:val="0069B4" w:themeColor="text2"/>
        </w:rPr>
        <w:t xml:space="preserve">State Street Global Advisors, All World ESG Screened </w:t>
      </w:r>
      <w:r w:rsidR="002F62C4">
        <w:rPr>
          <w:b/>
          <w:color w:val="0069B4" w:themeColor="text2"/>
        </w:rPr>
        <w:t>Index</w:t>
      </w:r>
      <w:r>
        <w:rPr>
          <w:b/>
          <w:color w:val="0069B4" w:themeColor="text2"/>
        </w:rPr>
        <w:t xml:space="preserve"> Equity Sub-Fund</w:t>
      </w:r>
    </w:p>
    <w:p w14:paraId="5E061A0B" w14:textId="280D14AE" w:rsidR="00895DFD" w:rsidRPr="00506954" w:rsidRDefault="00331E6A" w:rsidP="00895DFD">
      <w:pPr>
        <w:pStyle w:val="BodyText"/>
        <w:rPr>
          <w:b/>
          <w:color w:val="000000" w:themeColor="text1"/>
        </w:rPr>
      </w:pPr>
      <w:r>
        <w:rPr>
          <w:b/>
          <w:color w:val="000000" w:themeColor="text1"/>
        </w:rPr>
        <w:t>Mitsubishi Corp.</w:t>
      </w:r>
    </w:p>
    <w:p w14:paraId="13026D9C" w14:textId="406ED638" w:rsidR="00895DFD" w:rsidRDefault="00331E6A" w:rsidP="002258B1">
      <w:pPr>
        <w:spacing w:after="200"/>
        <w:rPr>
          <w:szCs w:val="20"/>
          <w:lang w:val="en-GB" w:bidi="ar-SA"/>
        </w:rPr>
      </w:pPr>
      <w:r>
        <w:rPr>
          <w:szCs w:val="20"/>
          <w:lang w:val="en-GB" w:bidi="ar-SA"/>
        </w:rPr>
        <w:t>S</w:t>
      </w:r>
      <w:r w:rsidR="004D435D">
        <w:rPr>
          <w:szCs w:val="20"/>
          <w:lang w:val="en-GB" w:bidi="ar-SA"/>
        </w:rPr>
        <w:t>tate Street</w:t>
      </w:r>
      <w:r>
        <w:rPr>
          <w:szCs w:val="20"/>
          <w:lang w:val="en-GB" w:bidi="ar-SA"/>
        </w:rPr>
        <w:t xml:space="preserve"> engaged with a member of the board and senior management at Mitsubishi Corp in June 2022 regarding the climate-related shareholder proposals, as well as subject matter experts. S</w:t>
      </w:r>
      <w:r w:rsidR="004D435D">
        <w:rPr>
          <w:szCs w:val="20"/>
          <w:lang w:val="en-GB" w:bidi="ar-SA"/>
        </w:rPr>
        <w:t>tate Street</w:t>
      </w:r>
      <w:r>
        <w:rPr>
          <w:szCs w:val="20"/>
          <w:lang w:val="en-GB" w:bidi="ar-SA"/>
        </w:rPr>
        <w:t xml:space="preserve"> highlighted opportunities to enhance certain areas of disclosure in line with peers including adopting short-term GHG emission reduction targets, strengthening disclosure on current and planned capital investments, and providing more detail on the integration of climate risk assessment into transaction due diligence. During the engagement</w:t>
      </w:r>
      <w:r w:rsidR="00540CAF">
        <w:rPr>
          <w:szCs w:val="20"/>
          <w:lang w:val="en-GB" w:bidi="ar-SA"/>
        </w:rPr>
        <w:t>,</w:t>
      </w:r>
      <w:r>
        <w:rPr>
          <w:szCs w:val="20"/>
          <w:lang w:val="en-GB" w:bidi="ar-SA"/>
        </w:rPr>
        <w:t xml:space="preserve"> S</w:t>
      </w:r>
      <w:r w:rsidR="004D435D">
        <w:rPr>
          <w:szCs w:val="20"/>
          <w:lang w:val="en-GB" w:bidi="ar-SA"/>
        </w:rPr>
        <w:t>tate Street</w:t>
      </w:r>
      <w:r>
        <w:rPr>
          <w:szCs w:val="20"/>
          <w:lang w:val="en-GB" w:bidi="ar-SA"/>
        </w:rPr>
        <w:t xml:space="preserve"> learned that the company is in the initial stage of developing roadmaps to its </w:t>
      </w:r>
      <w:r>
        <w:rPr>
          <w:szCs w:val="20"/>
          <w:lang w:val="en-GB" w:bidi="ar-SA"/>
        </w:rPr>
        <w:lastRenderedPageBreak/>
        <w:t>2030 and 2050 targets, as such S</w:t>
      </w:r>
      <w:r w:rsidR="004D435D">
        <w:rPr>
          <w:szCs w:val="20"/>
          <w:lang w:val="en-GB" w:bidi="ar-SA"/>
        </w:rPr>
        <w:t>tate Street</w:t>
      </w:r>
      <w:r>
        <w:rPr>
          <w:szCs w:val="20"/>
          <w:lang w:val="en-GB" w:bidi="ar-SA"/>
        </w:rPr>
        <w:t xml:space="preserve"> asked the company to provide enhanced disclosure around the strategy.</w:t>
      </w:r>
    </w:p>
    <w:p w14:paraId="3534FAB3" w14:textId="24386FB8" w:rsidR="00331E6A" w:rsidRDefault="00331E6A" w:rsidP="002258B1">
      <w:pPr>
        <w:spacing w:after="200"/>
        <w:rPr>
          <w:szCs w:val="20"/>
          <w:lang w:val="en-GB" w:bidi="ar-SA"/>
        </w:rPr>
      </w:pPr>
      <w:r>
        <w:rPr>
          <w:szCs w:val="20"/>
          <w:lang w:val="en-GB" w:bidi="ar-SA"/>
        </w:rPr>
        <w:t>S</w:t>
      </w:r>
      <w:r w:rsidR="004D435D">
        <w:rPr>
          <w:szCs w:val="20"/>
          <w:lang w:val="en-GB" w:bidi="ar-SA"/>
        </w:rPr>
        <w:t>tate Street</w:t>
      </w:r>
      <w:r>
        <w:rPr>
          <w:szCs w:val="20"/>
          <w:lang w:val="en-GB" w:bidi="ar-SA"/>
        </w:rPr>
        <w:t xml:space="preserve"> ultimately voted for the proposal regarding the company adopting and disclosing a business plan with short and mid-term GHG emission reduction targets aligned with the goals of the Paris Agreement, as S</w:t>
      </w:r>
      <w:r w:rsidR="004D435D">
        <w:rPr>
          <w:szCs w:val="20"/>
          <w:lang w:val="en-GB" w:bidi="ar-SA"/>
        </w:rPr>
        <w:t>tate Street</w:t>
      </w:r>
      <w:r>
        <w:rPr>
          <w:szCs w:val="20"/>
          <w:lang w:val="en-GB" w:bidi="ar-SA"/>
        </w:rPr>
        <w:t xml:space="preserve"> felt that supporting the proposal will help encourage the company to continue to advance its efforts. S</w:t>
      </w:r>
      <w:r w:rsidR="004D435D">
        <w:rPr>
          <w:szCs w:val="20"/>
          <w:lang w:val="en-GB" w:bidi="ar-SA"/>
        </w:rPr>
        <w:t xml:space="preserve">tate Street </w:t>
      </w:r>
      <w:r>
        <w:rPr>
          <w:szCs w:val="20"/>
          <w:lang w:val="en-GB" w:bidi="ar-SA"/>
        </w:rPr>
        <w:t>voted against the second proposal regarding capital expenditure disclosures including annual reporting, due the responsiveness of the company during S</w:t>
      </w:r>
      <w:r w:rsidR="004D435D">
        <w:rPr>
          <w:szCs w:val="20"/>
          <w:lang w:val="en-GB" w:bidi="ar-SA"/>
        </w:rPr>
        <w:t>tate Street</w:t>
      </w:r>
      <w:r>
        <w:rPr>
          <w:szCs w:val="20"/>
          <w:lang w:val="en-GB" w:bidi="ar-SA"/>
        </w:rPr>
        <w:t>’s engagement and S</w:t>
      </w:r>
      <w:r w:rsidR="004D435D">
        <w:rPr>
          <w:szCs w:val="20"/>
          <w:lang w:val="en-GB" w:bidi="ar-SA"/>
        </w:rPr>
        <w:t xml:space="preserve">tate Street </w:t>
      </w:r>
      <w:r>
        <w:rPr>
          <w:szCs w:val="20"/>
          <w:lang w:val="en-GB" w:bidi="ar-SA"/>
        </w:rPr>
        <w:t>feel optimistic that the engagement they have undertaken has resonated with the company.</w:t>
      </w:r>
    </w:p>
    <w:p w14:paraId="611565EA" w14:textId="77777777" w:rsidR="00ED33CD" w:rsidRDefault="00ED33CD" w:rsidP="0069487D">
      <w:pPr>
        <w:pStyle w:val="BodyText"/>
        <w:rPr>
          <w:b/>
          <w:color w:val="0069B4" w:themeColor="text2"/>
        </w:rPr>
      </w:pPr>
    </w:p>
    <w:p w14:paraId="58F449E4" w14:textId="77777777" w:rsidR="00ED33CD" w:rsidRDefault="00ED33CD" w:rsidP="0069487D">
      <w:pPr>
        <w:pStyle w:val="BodyText"/>
        <w:rPr>
          <w:b/>
          <w:color w:val="0069B4" w:themeColor="text2"/>
        </w:rPr>
      </w:pPr>
    </w:p>
    <w:p w14:paraId="64192E87" w14:textId="77777777" w:rsidR="00ED33CD" w:rsidRDefault="00ED33CD" w:rsidP="0069487D">
      <w:pPr>
        <w:pStyle w:val="BodyText"/>
        <w:rPr>
          <w:b/>
          <w:color w:val="0069B4" w:themeColor="text2"/>
        </w:rPr>
      </w:pPr>
    </w:p>
    <w:p w14:paraId="1D6BB49C" w14:textId="404CF9D5" w:rsidR="0069487D" w:rsidRDefault="0069487D" w:rsidP="0069487D">
      <w:pPr>
        <w:pStyle w:val="BodyText"/>
        <w:rPr>
          <w:b/>
          <w:color w:val="0069B4" w:themeColor="text2"/>
        </w:rPr>
      </w:pPr>
      <w:r>
        <w:rPr>
          <w:b/>
          <w:color w:val="0069B4" w:themeColor="text2"/>
        </w:rPr>
        <w:t>Insight Investment Management, High Grade ABS Fund</w:t>
      </w:r>
    </w:p>
    <w:p w14:paraId="57F805DA" w14:textId="4AE72E66" w:rsidR="0069487D" w:rsidRDefault="0069487D" w:rsidP="0069487D">
      <w:pPr>
        <w:pStyle w:val="BodyText"/>
        <w:rPr>
          <w:b/>
          <w:color w:val="000000" w:themeColor="text1"/>
        </w:rPr>
      </w:pPr>
      <w:r>
        <w:rPr>
          <w:b/>
          <w:color w:val="000000" w:themeColor="text1"/>
        </w:rPr>
        <w:t>Pepper</w:t>
      </w:r>
    </w:p>
    <w:p w14:paraId="70F7EED5" w14:textId="61A4B11F" w:rsidR="0069487D" w:rsidRDefault="0069487D" w:rsidP="0069487D">
      <w:pPr>
        <w:pStyle w:val="BodyText"/>
        <w:rPr>
          <w:bCs/>
          <w:color w:val="000000" w:themeColor="text1"/>
        </w:rPr>
      </w:pPr>
      <w:r>
        <w:rPr>
          <w:bCs/>
          <w:color w:val="000000" w:themeColor="text1"/>
        </w:rPr>
        <w:t xml:space="preserve">Insight engaged with Pepper on ESG considerations in their loan origination and underwriting process. Pepper currently don’t use ESG to form part of their loan origination process, with Insight looking to raise the issue and determine their level of engagement. </w:t>
      </w:r>
    </w:p>
    <w:p w14:paraId="5B2BD61A" w14:textId="199B13A7" w:rsidR="0069487D" w:rsidRPr="0069487D" w:rsidRDefault="0069487D" w:rsidP="0069487D">
      <w:pPr>
        <w:pStyle w:val="BodyText"/>
        <w:rPr>
          <w:bCs/>
          <w:color w:val="000000" w:themeColor="text1"/>
        </w:rPr>
      </w:pPr>
      <w:r>
        <w:rPr>
          <w:bCs/>
          <w:color w:val="000000" w:themeColor="text1"/>
        </w:rPr>
        <w:t>The engagement occurred at a single meeting in Q4 2022 with the Deputy Head of Treasury at Pepper, where they confirmed that ESG considerations were not a significant part of their loan origination and underwriting process. Insight raised their concerns and Pepper agreed that their disclosures need to improve and would be looking to improve a number of ESG metrics in their annual reports.</w:t>
      </w:r>
    </w:p>
    <w:p w14:paraId="0F2DA8F7" w14:textId="77777777" w:rsidR="0069487D" w:rsidRDefault="0069487D" w:rsidP="0069487D">
      <w:pPr>
        <w:pStyle w:val="BodyText"/>
        <w:rPr>
          <w:b/>
          <w:color w:val="0069B4" w:themeColor="text2"/>
        </w:rPr>
      </w:pPr>
    </w:p>
    <w:p w14:paraId="71F31FF7" w14:textId="77777777" w:rsidR="0069487D" w:rsidRPr="00895DFD" w:rsidRDefault="0069487D">
      <w:pPr>
        <w:spacing w:after="200" w:line="276" w:lineRule="auto"/>
        <w:rPr>
          <w:szCs w:val="20"/>
          <w:lang w:val="en-GB" w:bidi="ar-SA"/>
        </w:rPr>
      </w:pPr>
    </w:p>
    <w:p w14:paraId="7E4C9018" w14:textId="77777777" w:rsidR="00895DFD" w:rsidRDefault="00895DFD" w:rsidP="000B39E9">
      <w:pPr>
        <w:pStyle w:val="Heading2"/>
      </w:pPr>
    </w:p>
    <w:p w14:paraId="5FAC18EE" w14:textId="77777777" w:rsidR="007F4127" w:rsidRPr="007F4127" w:rsidRDefault="007F4127" w:rsidP="00EC4E7F">
      <w:pPr>
        <w:pStyle w:val="BodyText"/>
        <w:rPr>
          <w:b/>
        </w:rPr>
      </w:pPr>
    </w:p>
    <w:sectPr w:rsidR="007F4127" w:rsidRPr="007F4127" w:rsidSect="002258B1">
      <w:footerReference w:type="default" r:id="rId9"/>
      <w:pgSz w:w="11906" w:h="16838"/>
      <w:pgMar w:top="567" w:right="1020" w:bottom="144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A213" w14:textId="77777777" w:rsidR="00857D49" w:rsidRDefault="00857D49" w:rsidP="00615554">
      <w:r>
        <w:separator/>
      </w:r>
    </w:p>
  </w:endnote>
  <w:endnote w:type="continuationSeparator" w:id="0">
    <w:p w14:paraId="7F5C9CDD" w14:textId="77777777" w:rsidR="00857D49" w:rsidRDefault="00857D49" w:rsidP="0061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0E2D" w14:textId="77777777" w:rsidR="00615554" w:rsidRDefault="00615554" w:rsidP="00615554">
    <w:r w:rsidRPr="004F015E">
      <w:rPr>
        <w:noProof/>
        <w:color w:val="797979"/>
        <w:sz w:val="13"/>
        <w:szCs w:val="13"/>
        <w:lang w:val="en-GB" w:eastAsia="en-GB" w:bidi="ar-SA"/>
      </w:rPr>
      <mc:AlternateContent>
        <mc:Choice Requires="wps">
          <w:drawing>
            <wp:anchor distT="45720" distB="45720" distL="114300" distR="114300" simplePos="0" relativeHeight="251660288" behindDoc="0" locked="0" layoutInCell="1" allowOverlap="1" wp14:anchorId="6CC2D6FE" wp14:editId="09BEC26A">
              <wp:simplePos x="0" y="0"/>
              <wp:positionH relativeFrom="margin">
                <wp:align>right</wp:align>
              </wp:positionH>
              <wp:positionV relativeFrom="paragraph">
                <wp:posOffset>5080</wp:posOffset>
              </wp:positionV>
              <wp:extent cx="3768090" cy="125095"/>
              <wp:effectExtent l="0" t="0" r="3810"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25095"/>
                      </a:xfrm>
                      <a:prstGeom prst="rect">
                        <a:avLst/>
                      </a:prstGeom>
                      <a:solidFill>
                        <a:srgbClr val="FFFFFF"/>
                      </a:solidFill>
                      <a:ln w="9525">
                        <a:noFill/>
                        <a:miter lim="800000"/>
                        <a:headEnd/>
                        <a:tailEnd/>
                      </a:ln>
                    </wps:spPr>
                    <wps:txbx>
                      <w:txbxContent>
                        <w:p w14:paraId="3AFDED97" w14:textId="002989F7" w:rsidR="00615554" w:rsidRPr="002C1FBA" w:rsidRDefault="003D512A" w:rsidP="00615554">
                          <w:pPr>
                            <w:jc w:val="right"/>
                            <w:rPr>
                              <w:rFonts w:cs="Segoe UI"/>
                              <w:color w:val="797979"/>
                              <w:sz w:val="12"/>
                              <w:szCs w:val="12"/>
                            </w:rPr>
                          </w:pPr>
                          <w:sdt>
                            <w:sdtPr>
                              <w:rPr>
                                <w:sz w:val="12"/>
                                <w:szCs w:val="12"/>
                              </w:rPr>
                              <w:alias w:val="Client Name"/>
                              <w:tag w:val="Client Name"/>
                              <w:id w:val="1688403083"/>
                              <w:text/>
                            </w:sdtPr>
                            <w:sdtEndPr/>
                            <w:sdtContent>
                              <w:r w:rsidR="00B67330" w:rsidRPr="00B67330">
                                <w:rPr>
                                  <w:sz w:val="12"/>
                                  <w:szCs w:val="12"/>
                                </w:rPr>
                                <w:t xml:space="preserve">Jewish Care Pension </w:t>
                              </w:r>
                              <w:r w:rsidR="00B67330">
                                <w:rPr>
                                  <w:sz w:val="12"/>
                                  <w:szCs w:val="12"/>
                                </w:rPr>
                                <w:t>Scheme</w:t>
                              </w:r>
                            </w:sdtContent>
                          </w:sdt>
                          <w:r w:rsidR="00615554" w:rsidRPr="002C1FBA">
                            <w:rPr>
                              <w:sz w:val="12"/>
                              <w:szCs w:val="12"/>
                            </w:rPr>
                            <w:t xml:space="preserve"> </w:t>
                          </w:r>
                          <w:r w:rsidR="00615554">
                            <w:rPr>
                              <w:sz w:val="12"/>
                              <w:szCs w:val="12"/>
                            </w:rPr>
                            <w:t xml:space="preserve"> </w:t>
                          </w:r>
                          <w:r w:rsidR="00615554" w:rsidRPr="002C1FBA">
                            <w:rPr>
                              <w:color w:val="009FE3"/>
                              <w:sz w:val="12"/>
                              <w:szCs w:val="12"/>
                            </w:rPr>
                            <w:t xml:space="preserve"> |   </w:t>
                          </w:r>
                          <w:sdt>
                            <w:sdtPr>
                              <w:rPr>
                                <w:sz w:val="12"/>
                                <w:szCs w:val="12"/>
                              </w:rPr>
                              <w:alias w:val="Title"/>
                              <w:tag w:val=""/>
                              <w:id w:val="-632094615"/>
                              <w:dataBinding w:prefixMappings="xmlns:ns0='http://purl.org/dc/elements/1.1/' xmlns:ns1='http://schemas.openxmlformats.org/package/2006/metadata/core-properties' " w:xpath="/ns1:coreProperties[1]/ns0:title[1]" w:storeItemID="{6C3C8BC8-F283-45AE-878A-BAB7291924A1}"/>
                              <w:text/>
                            </w:sdtPr>
                            <w:sdtEndPr/>
                            <w:sdtContent>
                              <w:r w:rsidR="001919F9">
                                <w:rPr>
                                  <w:sz w:val="12"/>
                                  <w:szCs w:val="12"/>
                                </w:rPr>
                                <w:t>Implementation Statement</w:t>
                              </w:r>
                            </w:sdtContent>
                          </w:sdt>
                          <w:r w:rsidR="00615554">
                            <w:rPr>
                              <w:sz w:val="12"/>
                              <w:szCs w:val="12"/>
                            </w:rPr>
                            <w:t xml:space="preserve">   </w:t>
                          </w:r>
                          <w:r w:rsidR="00615554" w:rsidRPr="002C1FBA">
                            <w:rPr>
                              <w:color w:val="009FE3"/>
                              <w:sz w:val="12"/>
                              <w:szCs w:val="12"/>
                            </w:rPr>
                            <w:t xml:space="preserve">| </w:t>
                          </w:r>
                          <w:r w:rsidR="00615554">
                            <w:rPr>
                              <w:sz w:val="12"/>
                              <w:szCs w:val="12"/>
                            </w:rPr>
                            <w:t xml:space="preserve"> </w:t>
                          </w:r>
                          <w:r w:rsidR="00615554" w:rsidRPr="002C1FBA">
                            <w:rPr>
                              <w:color w:val="797979"/>
                              <w:sz w:val="12"/>
                              <w:szCs w:val="12"/>
                            </w:rPr>
                            <w:t xml:space="preserve"> </w:t>
                          </w:r>
                          <w:sdt>
                            <w:sdtPr>
                              <w:rPr>
                                <w:sz w:val="12"/>
                                <w:szCs w:val="12"/>
                              </w:rPr>
                              <w:alias w:val="Publish Date"/>
                              <w:tag w:val=""/>
                              <w:id w:val="163674104"/>
                              <w:dataBinding w:prefixMappings="xmlns:ns0='http://schemas.microsoft.com/office/2006/coverPageProps' " w:xpath="/ns0:CoverPageProperties[1]/ns0:PublishDate[1]" w:storeItemID="{55AF091B-3C7A-41E3-B477-F2FDAA23CFDA}"/>
                              <w:date w:fullDate="2023-03-31T00:00:00Z">
                                <w:dateFormat w:val="d MMMM yyyy"/>
                                <w:lid w:val="en-GB"/>
                                <w:storeMappedDataAs w:val="dateTime"/>
                                <w:calendar w:val="gregorian"/>
                              </w:date>
                            </w:sdtPr>
                            <w:sdtEndPr/>
                            <w:sdtContent>
                              <w:r w:rsidR="002A6D82">
                                <w:rPr>
                                  <w:sz w:val="12"/>
                                  <w:szCs w:val="12"/>
                                  <w:lang w:val="en-GB"/>
                                </w:rPr>
                                <w:t>31 March</w:t>
                              </w:r>
                              <w:r w:rsidR="00B67330" w:rsidRPr="00B67330">
                                <w:rPr>
                                  <w:sz w:val="12"/>
                                  <w:szCs w:val="12"/>
                                  <w:lang w:val="en-GB"/>
                                </w:rPr>
                                <w:t xml:space="preserve"> 2023</w:t>
                              </w:r>
                            </w:sdtContent>
                          </w:sdt>
                        </w:p>
                        <w:p w14:paraId="3A908E00" w14:textId="77777777" w:rsidR="00615554" w:rsidRPr="002C1FBA" w:rsidRDefault="00615554" w:rsidP="00615554">
                          <w:pPr>
                            <w:jc w:val="right"/>
                            <w:rPr>
                              <w:rFonts w:cs="Segoe UI"/>
                              <w:color w:val="797979"/>
                              <w:sz w:val="12"/>
                              <w:szCs w:val="1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2D6FE" id="_x0000_t202" coordsize="21600,21600" o:spt="202" path="m,l,21600r21600,l21600,xe">
              <v:stroke joinstyle="miter"/>
              <v:path gradientshapeok="t" o:connecttype="rect"/>
            </v:shapetype>
            <v:shape id="Text Box 2" o:spid="_x0000_s1026" type="#_x0000_t202" style="position:absolute;margin-left:245.5pt;margin-top:.4pt;width:296.7pt;height:9.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" stroked="f">
              <v:textbox inset="0,0,0,0">
                <w:txbxContent>
                  <w:p w14:paraId="3AFDED97" w14:textId="002989F7" w:rsidR="00615554" w:rsidRPr="002C1FBA" w:rsidRDefault="003D512A" w:rsidP="00615554">
                    <w:pPr>
                      <w:jc w:val="right"/>
                      <w:rPr>
                        <w:rFonts w:cs="Segoe UI"/>
                        <w:color w:val="797979"/>
                        <w:sz w:val="12"/>
                        <w:szCs w:val="12"/>
                      </w:rPr>
                    </w:pPr>
                    <w:sdt>
                      <w:sdtPr>
                        <w:rPr>
                          <w:sz w:val="12"/>
                          <w:szCs w:val="12"/>
                        </w:rPr>
                        <w:alias w:val="Client Name"/>
                        <w:tag w:val="Client Name"/>
                        <w:id w:val="1688403083"/>
                        <w:text/>
                      </w:sdtPr>
                      <w:sdtEndPr/>
                      <w:sdtContent>
                        <w:r w:rsidR="00B67330" w:rsidRPr="00B67330">
                          <w:rPr>
                            <w:sz w:val="12"/>
                            <w:szCs w:val="12"/>
                          </w:rPr>
                          <w:t xml:space="preserve">Jewish Care Pension </w:t>
                        </w:r>
                        <w:r w:rsidR="00B67330">
                          <w:rPr>
                            <w:sz w:val="12"/>
                            <w:szCs w:val="12"/>
                          </w:rPr>
                          <w:t>Scheme</w:t>
                        </w:r>
                      </w:sdtContent>
                    </w:sdt>
                    <w:r w:rsidR="00615554" w:rsidRPr="002C1FBA">
                      <w:rPr>
                        <w:sz w:val="12"/>
                        <w:szCs w:val="12"/>
                      </w:rPr>
                      <w:t xml:space="preserve"> </w:t>
                    </w:r>
                    <w:r w:rsidR="00615554">
                      <w:rPr>
                        <w:sz w:val="12"/>
                        <w:szCs w:val="12"/>
                      </w:rPr>
                      <w:t xml:space="preserve"> </w:t>
                    </w:r>
                    <w:r w:rsidR="00615554" w:rsidRPr="002C1FBA">
                      <w:rPr>
                        <w:color w:val="009FE3"/>
                        <w:sz w:val="12"/>
                        <w:szCs w:val="12"/>
                      </w:rPr>
                      <w:t xml:space="preserve"> |   </w:t>
                    </w:r>
                    <w:sdt>
                      <w:sdtPr>
                        <w:rPr>
                          <w:sz w:val="12"/>
                          <w:szCs w:val="12"/>
                        </w:rPr>
                        <w:alias w:val="Title"/>
                        <w:tag w:val=""/>
                        <w:id w:val="-632094615"/>
                        <w:dataBinding w:prefixMappings="xmlns:ns0='http://purl.org/dc/elements/1.1/' xmlns:ns1='http://schemas.openxmlformats.org/package/2006/metadata/core-properties' " w:xpath="/ns1:coreProperties[1]/ns0:title[1]" w:storeItemID="{6C3C8BC8-F283-45AE-878A-BAB7291924A1}"/>
                        <w:text/>
                      </w:sdtPr>
                      <w:sdtEndPr/>
                      <w:sdtContent>
                        <w:r w:rsidR="001919F9">
                          <w:rPr>
                            <w:sz w:val="12"/>
                            <w:szCs w:val="12"/>
                          </w:rPr>
                          <w:t>Implementation Statement</w:t>
                        </w:r>
                      </w:sdtContent>
                    </w:sdt>
                    <w:r w:rsidR="00615554">
                      <w:rPr>
                        <w:sz w:val="12"/>
                        <w:szCs w:val="12"/>
                      </w:rPr>
                      <w:t xml:space="preserve">   </w:t>
                    </w:r>
                    <w:r w:rsidR="00615554" w:rsidRPr="002C1FBA">
                      <w:rPr>
                        <w:color w:val="009FE3"/>
                        <w:sz w:val="12"/>
                        <w:szCs w:val="12"/>
                      </w:rPr>
                      <w:t xml:space="preserve">| </w:t>
                    </w:r>
                    <w:r w:rsidR="00615554">
                      <w:rPr>
                        <w:sz w:val="12"/>
                        <w:szCs w:val="12"/>
                      </w:rPr>
                      <w:t xml:space="preserve"> </w:t>
                    </w:r>
                    <w:r w:rsidR="00615554" w:rsidRPr="002C1FBA">
                      <w:rPr>
                        <w:color w:val="797979"/>
                        <w:sz w:val="12"/>
                        <w:szCs w:val="12"/>
                      </w:rPr>
                      <w:t xml:space="preserve"> </w:t>
                    </w:r>
                    <w:sdt>
                      <w:sdtPr>
                        <w:rPr>
                          <w:sz w:val="12"/>
                          <w:szCs w:val="12"/>
                        </w:rPr>
                        <w:alias w:val="Publish Date"/>
                        <w:tag w:val=""/>
                        <w:id w:val="163674104"/>
                        <w:dataBinding w:prefixMappings="xmlns:ns0='http://schemas.microsoft.com/office/2006/coverPageProps' " w:xpath="/ns0:CoverPageProperties[1]/ns0:PublishDate[1]" w:storeItemID="{55AF091B-3C7A-41E3-B477-F2FDAA23CFDA}"/>
                        <w:date w:fullDate="2023-03-31T00:00:00Z">
                          <w:dateFormat w:val="d MMMM yyyy"/>
                          <w:lid w:val="en-GB"/>
                          <w:storeMappedDataAs w:val="dateTime"/>
                          <w:calendar w:val="gregorian"/>
                        </w:date>
                      </w:sdtPr>
                      <w:sdtEndPr/>
                      <w:sdtContent>
                        <w:r w:rsidR="002A6D82">
                          <w:rPr>
                            <w:sz w:val="12"/>
                            <w:szCs w:val="12"/>
                            <w:lang w:val="en-GB"/>
                          </w:rPr>
                          <w:t>31 March</w:t>
                        </w:r>
                        <w:r w:rsidR="00B67330" w:rsidRPr="00B67330">
                          <w:rPr>
                            <w:sz w:val="12"/>
                            <w:szCs w:val="12"/>
                            <w:lang w:val="en-GB"/>
                          </w:rPr>
                          <w:t xml:space="preserve"> 2023</w:t>
                        </w:r>
                      </w:sdtContent>
                    </w:sdt>
                  </w:p>
                  <w:p w14:paraId="3A908E00" w14:textId="77777777" w:rsidR="00615554" w:rsidRPr="002C1FBA" w:rsidRDefault="00615554" w:rsidP="00615554">
                    <w:pPr>
                      <w:jc w:val="right"/>
                      <w:rPr>
                        <w:rFonts w:cs="Segoe UI"/>
                        <w:color w:val="797979"/>
                        <w:sz w:val="12"/>
                        <w:szCs w:val="12"/>
                      </w:rPr>
                    </w:pPr>
                  </w:p>
                </w:txbxContent>
              </v:textbox>
              <w10:wrap type="square" anchorx="margin"/>
            </v:shape>
          </w:pict>
        </mc:Fallback>
      </mc:AlternateContent>
    </w:r>
  </w:p>
  <w:p w14:paraId="28B8BAC7" w14:textId="6FF44326" w:rsidR="00615554" w:rsidRPr="00615554" w:rsidRDefault="00615554">
    <w:pPr>
      <w:pStyle w:val="Footer"/>
      <w:rPr>
        <w:sz w:val="13"/>
        <w:szCs w:val="13"/>
      </w:rPr>
    </w:pPr>
    <w:r w:rsidRPr="004F015E">
      <w:rPr>
        <w:noProof/>
        <w:color w:val="797979"/>
        <w:sz w:val="13"/>
        <w:szCs w:val="13"/>
        <w:lang w:eastAsia="en-GB"/>
      </w:rPr>
      <mc:AlternateContent>
        <mc:Choice Requires="wps">
          <w:drawing>
            <wp:anchor distT="45720" distB="45720" distL="114300" distR="114300" simplePos="0" relativeHeight="251661312" behindDoc="0" locked="0" layoutInCell="1" allowOverlap="1" wp14:anchorId="763524F6" wp14:editId="6FD7E401">
              <wp:simplePos x="0" y="0"/>
              <wp:positionH relativeFrom="margin">
                <wp:align>right</wp:align>
              </wp:positionH>
              <wp:positionV relativeFrom="paragraph">
                <wp:posOffset>-15240</wp:posOffset>
              </wp:positionV>
              <wp:extent cx="3768090" cy="1404620"/>
              <wp:effectExtent l="0" t="0" r="381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404620"/>
                      </a:xfrm>
                      <a:prstGeom prst="rect">
                        <a:avLst/>
                      </a:prstGeom>
                      <a:solidFill>
                        <a:srgbClr val="FFFFFF"/>
                      </a:solidFill>
                      <a:ln w="9525">
                        <a:noFill/>
                        <a:miter lim="800000"/>
                        <a:headEnd/>
                        <a:tailEnd/>
                      </a:ln>
                    </wps:spPr>
                    <wps:txbx>
                      <w:txbxContent>
                        <w:p w14:paraId="7D497DF0" w14:textId="62E30860" w:rsidR="00615554" w:rsidRPr="00F05E01" w:rsidRDefault="00615554" w:rsidP="00615554">
                          <w:pPr>
                            <w:jc w:val="right"/>
                            <w:rPr>
                              <w:rFonts w:cs="Segoe UI"/>
                              <w:sz w:val="12"/>
                              <w:szCs w:val="12"/>
                            </w:rPr>
                          </w:pPr>
                          <w:r w:rsidRPr="00F05E01">
                            <w:rPr>
                              <w:sz w:val="12"/>
                              <w:szCs w:val="12"/>
                            </w:rPr>
                            <w:fldChar w:fldCharType="begin"/>
                          </w:r>
                          <w:r w:rsidRPr="00F05E01">
                            <w:rPr>
                              <w:sz w:val="12"/>
                              <w:szCs w:val="12"/>
                            </w:rPr>
                            <w:instrText xml:space="preserve"> PAGE   \* MERGEFORMAT </w:instrText>
                          </w:r>
                          <w:r w:rsidRPr="00F05E01">
                            <w:rPr>
                              <w:sz w:val="12"/>
                              <w:szCs w:val="12"/>
                            </w:rPr>
                            <w:fldChar w:fldCharType="separate"/>
                          </w:r>
                          <w:r w:rsidR="00A80D07">
                            <w:rPr>
                              <w:noProof/>
                              <w:sz w:val="12"/>
                              <w:szCs w:val="12"/>
                            </w:rPr>
                            <w:t>2</w:t>
                          </w:r>
                          <w:r w:rsidRPr="00F05E01">
                            <w:rPr>
                              <w:noProof/>
                              <w:sz w:val="12"/>
                              <w:szCs w:val="12"/>
                            </w:rPr>
                            <w:fldChar w:fldCharType="end"/>
                          </w:r>
                          <w:r w:rsidRPr="00F05E01">
                            <w:rPr>
                              <w:noProof/>
                              <w:sz w:val="12"/>
                              <w:szCs w:val="12"/>
                            </w:rPr>
                            <w:t xml:space="preserve"> of </w:t>
                          </w:r>
                          <w:r w:rsidRPr="00F05E01">
                            <w:rPr>
                              <w:noProof/>
                              <w:sz w:val="12"/>
                              <w:szCs w:val="12"/>
                            </w:rPr>
                            <w:fldChar w:fldCharType="begin"/>
                          </w:r>
                          <w:r w:rsidRPr="00F05E01">
                            <w:rPr>
                              <w:noProof/>
                              <w:sz w:val="12"/>
                              <w:szCs w:val="12"/>
                            </w:rPr>
                            <w:instrText xml:space="preserve"> NUMPAGES   \* MERGEFORMAT </w:instrText>
                          </w:r>
                          <w:r w:rsidRPr="00F05E01">
                            <w:rPr>
                              <w:noProof/>
                              <w:sz w:val="12"/>
                              <w:szCs w:val="12"/>
                            </w:rPr>
                            <w:fldChar w:fldCharType="separate"/>
                          </w:r>
                          <w:r w:rsidR="00A80D07">
                            <w:rPr>
                              <w:noProof/>
                              <w:sz w:val="12"/>
                              <w:szCs w:val="12"/>
                            </w:rPr>
                            <w:t>7</w:t>
                          </w:r>
                          <w:r w:rsidRPr="00F05E01">
                            <w:rPr>
                              <w:noProof/>
                              <w:sz w:val="12"/>
                              <w:szCs w:val="12"/>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524F6" id="_x0000_s1027" type="#_x0000_t202" style="position:absolute;margin-left:245.5pt;margin-top:-1.2pt;width:296.7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" stroked="f">
              <v:textbox style="mso-fit-shape-to-text:t" inset="0,0,0,0">
                <w:txbxContent>
                  <w:p w14:paraId="7D497DF0" w14:textId="62E30860" w:rsidR="00615554" w:rsidRPr="00F05E01" w:rsidRDefault="00615554" w:rsidP="00615554">
                    <w:pPr>
                      <w:jc w:val="right"/>
                      <w:rPr>
                        <w:rFonts w:cs="Segoe UI"/>
                        <w:sz w:val="12"/>
                        <w:szCs w:val="12"/>
                      </w:rPr>
                    </w:pPr>
                    <w:r w:rsidRPr="00F05E01">
                      <w:rPr>
                        <w:sz w:val="12"/>
                        <w:szCs w:val="12"/>
                      </w:rPr>
                      <w:fldChar w:fldCharType="begin"/>
                    </w:r>
                    <w:r w:rsidRPr="00F05E01">
                      <w:rPr>
                        <w:sz w:val="12"/>
                        <w:szCs w:val="12"/>
                      </w:rPr>
                      <w:instrText xml:space="preserve"> PAGE   \* MERGEFORMAT </w:instrText>
                    </w:r>
                    <w:r w:rsidRPr="00F05E01">
                      <w:rPr>
                        <w:sz w:val="12"/>
                        <w:szCs w:val="12"/>
                      </w:rPr>
                      <w:fldChar w:fldCharType="separate"/>
                    </w:r>
                    <w:r w:rsidR="00A80D07">
                      <w:rPr>
                        <w:noProof/>
                        <w:sz w:val="12"/>
                        <w:szCs w:val="12"/>
                      </w:rPr>
                      <w:t>2</w:t>
                    </w:r>
                    <w:r w:rsidRPr="00F05E01">
                      <w:rPr>
                        <w:noProof/>
                        <w:sz w:val="12"/>
                        <w:szCs w:val="12"/>
                      </w:rPr>
                      <w:fldChar w:fldCharType="end"/>
                    </w:r>
                    <w:r w:rsidRPr="00F05E01">
                      <w:rPr>
                        <w:noProof/>
                        <w:sz w:val="12"/>
                        <w:szCs w:val="12"/>
                      </w:rPr>
                      <w:t xml:space="preserve"> of </w:t>
                    </w:r>
                    <w:r w:rsidRPr="00F05E01">
                      <w:rPr>
                        <w:noProof/>
                        <w:sz w:val="12"/>
                        <w:szCs w:val="12"/>
                      </w:rPr>
                      <w:fldChar w:fldCharType="begin"/>
                    </w:r>
                    <w:r w:rsidRPr="00F05E01">
                      <w:rPr>
                        <w:noProof/>
                        <w:sz w:val="12"/>
                        <w:szCs w:val="12"/>
                      </w:rPr>
                      <w:instrText xml:space="preserve"> NUMPAGES   \* MERGEFORMAT </w:instrText>
                    </w:r>
                    <w:r w:rsidRPr="00F05E01">
                      <w:rPr>
                        <w:noProof/>
                        <w:sz w:val="12"/>
                        <w:szCs w:val="12"/>
                      </w:rPr>
                      <w:fldChar w:fldCharType="separate"/>
                    </w:r>
                    <w:r w:rsidR="00A80D07">
                      <w:rPr>
                        <w:noProof/>
                        <w:sz w:val="12"/>
                        <w:szCs w:val="12"/>
                      </w:rPr>
                      <w:t>7</w:t>
                    </w:r>
                    <w:r w:rsidRPr="00F05E01">
                      <w:rPr>
                        <w:noProof/>
                        <w:sz w:val="12"/>
                        <w:szCs w:val="12"/>
                      </w:rPr>
                      <w:fldChar w:fldCharType="end"/>
                    </w:r>
                  </w:p>
                </w:txbxContent>
              </v:textbox>
              <w10:wrap type="square" anchorx="margin"/>
            </v:shape>
          </w:pict>
        </mc:Fallback>
      </mc:AlternateContent>
    </w:r>
    <w:r w:rsidRPr="004F015E">
      <w:rPr>
        <w:noProof/>
        <w:color w:val="797979"/>
        <w:sz w:val="13"/>
        <w:szCs w:val="13"/>
        <w:lang w:eastAsia="en-GB"/>
      </w:rPr>
      <mc:AlternateContent>
        <mc:Choice Requires="wps">
          <w:drawing>
            <wp:anchor distT="45720" distB="45720" distL="114300" distR="114300" simplePos="0" relativeHeight="251659264" behindDoc="0" locked="0" layoutInCell="1" allowOverlap="1" wp14:anchorId="4852F745" wp14:editId="31E4E41D">
              <wp:simplePos x="0" y="0"/>
              <wp:positionH relativeFrom="margin">
                <wp:posOffset>2540</wp:posOffset>
              </wp:positionH>
              <wp:positionV relativeFrom="paragraph">
                <wp:posOffset>-163195</wp:posOffset>
              </wp:positionV>
              <wp:extent cx="930909" cy="181609"/>
              <wp:effectExtent l="0" t="0" r="317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09" cy="181609"/>
                      </a:xfrm>
                      <a:prstGeom prst="rect">
                        <a:avLst/>
                      </a:prstGeom>
                      <a:solidFill>
                        <a:srgbClr val="FFFFFF"/>
                      </a:solidFill>
                      <a:ln w="9525">
                        <a:noFill/>
                        <a:miter lim="800000"/>
                        <a:headEnd/>
                        <a:tailEnd/>
                      </a:ln>
                    </wps:spPr>
                    <wps:txbx>
                      <w:txbxContent>
                        <w:p w14:paraId="234990FA" w14:textId="52D54812" w:rsidR="00615554" w:rsidRPr="00F05E01" w:rsidRDefault="001919F9" w:rsidP="00615554">
                          <w:pPr>
                            <w:rPr>
                              <w:rFonts w:cs="Segoe UI"/>
                              <w:sz w:val="12"/>
                              <w:szCs w:val="12"/>
                            </w:rPr>
                          </w:pPr>
                          <w:r>
                            <w:rPr>
                              <w:rFonts w:cs="Segoe UI"/>
                              <w:sz w:val="12"/>
                              <w:szCs w:val="12"/>
                            </w:rPr>
                            <w:t>Version 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2F745" id="_x0000_s1028" type="#_x0000_t202" style="position:absolute;margin-left:.2pt;margin-top:-12.85pt;width:73.3pt;height:14.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" stroked="f">
              <v:textbox style="mso-fit-shape-to-text:t" inset="0,0,0,0">
                <w:txbxContent>
                  <w:p w14:paraId="234990FA" w14:textId="52D54812" w:rsidR="00615554" w:rsidRPr="00F05E01" w:rsidRDefault="001919F9" w:rsidP="00615554">
                    <w:pPr>
                      <w:rPr>
                        <w:rFonts w:cs="Segoe UI"/>
                        <w:sz w:val="12"/>
                        <w:szCs w:val="12"/>
                      </w:rPr>
                    </w:pPr>
                    <w:r>
                      <w:rPr>
                        <w:rFonts w:cs="Segoe UI"/>
                        <w:sz w:val="12"/>
                        <w:szCs w:val="12"/>
                      </w:rPr>
                      <w:t>Version 1</w:t>
                    </w:r>
                  </w:p>
                </w:txbxContent>
              </v:textbox>
              <w10:wrap type="square" anchorx="margin"/>
            </v:shape>
          </w:pict>
        </mc:Fallback>
      </mc:AlternateContent>
    </w:r>
    <w:sdt>
      <w:sdtPr>
        <w:rPr>
          <w:sz w:val="12"/>
          <w:szCs w:val="12"/>
        </w:rPr>
        <w:alias w:val="Document classification"/>
        <w:tag w:val="Document classification"/>
        <w:id w:val="-285582485"/>
        <w:showingPlcHdr/>
        <w:dropDownList>
          <w:listItem w:displayText="CONFIDENTIAL" w:value="CONFIDENTIAL"/>
          <w:listItem w:displayText="RESTRICTED" w:value="RESTRICTED"/>
          <w:listItem w:displayText="PUBLIC" w:value="PUBLIC"/>
          <w:listItem w:displayText="BLANK" w:value=""/>
        </w:dropDownList>
      </w:sdtPr>
      <w:sdtEndPr/>
      <w:sdtContent>
        <w:r w:rsidR="001919F9">
          <w:rPr>
            <w:sz w:val="12"/>
            <w:szCs w:val="12"/>
          </w:rPr>
          <w:t xml:space="preserve">     </w:t>
        </w:r>
      </w:sdtContent>
    </w:sdt>
    <w:r>
      <w:rPr>
        <w:color w:val="797979"/>
        <w:sz w:val="12"/>
        <w:szCs w:val="12"/>
      </w:rPr>
      <w:t xml:space="preserve">                                                                                                                                                                                                                                                                </w:t>
    </w:r>
    <w:r w:rsidRPr="004F015E">
      <w:rPr>
        <w:noProof/>
        <w:sz w:val="13"/>
        <w:szCs w:val="13"/>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C8CC" w14:textId="77777777" w:rsidR="00857D49" w:rsidRDefault="00857D49" w:rsidP="00615554">
      <w:r>
        <w:separator/>
      </w:r>
    </w:p>
  </w:footnote>
  <w:footnote w:type="continuationSeparator" w:id="0">
    <w:p w14:paraId="6EF63066" w14:textId="77777777" w:rsidR="00857D49" w:rsidRDefault="00857D49" w:rsidP="00615554">
      <w:r>
        <w:continuationSeparator/>
      </w:r>
    </w:p>
  </w:footnote>
  <w:footnote w:id="1">
    <w:p w14:paraId="3C1AEDAE" w14:textId="50F79417" w:rsidR="002A6D82" w:rsidRPr="00915548" w:rsidRDefault="002A6D82">
      <w:pPr>
        <w:pStyle w:val="FootnoteText"/>
        <w:rPr>
          <w:lang w:val="en-GB"/>
        </w:rPr>
      </w:pPr>
      <w:r w:rsidRPr="00011645">
        <w:rPr>
          <w:rStyle w:val="FootnoteReference"/>
        </w:rPr>
        <w:sym w:font="Symbol" w:char="F031"/>
      </w:r>
      <w:r>
        <w:t xml:space="preserve"> As a percentage of the total number of resolutions voted 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5DEB670"/>
    <w:lvl w:ilvl="0">
      <w:start w:val="1"/>
      <w:numFmt w:val="decimal"/>
      <w:pStyle w:val="ListNumber"/>
      <w:lvlText w:val="%1"/>
      <w:lvlJc w:val="left"/>
      <w:pPr>
        <w:tabs>
          <w:tab w:val="num" w:pos="360"/>
        </w:tabs>
        <w:ind w:left="360" w:hanging="360"/>
      </w:pPr>
      <w:rPr>
        <w:rFonts w:hint="default"/>
        <w:color w:val="009FE3" w:themeColor="background2"/>
      </w:rPr>
    </w:lvl>
  </w:abstractNum>
  <w:abstractNum w:abstractNumId="1" w15:restartNumberingAfterBreak="0">
    <w:nsid w:val="FFFFFF89"/>
    <w:multiLevelType w:val="singleLevel"/>
    <w:tmpl w:val="2492759C"/>
    <w:lvl w:ilvl="0">
      <w:start w:val="1"/>
      <w:numFmt w:val="bullet"/>
      <w:pStyle w:val="ListBullet"/>
      <w:lvlText w:val=""/>
      <w:lvlJc w:val="left"/>
      <w:pPr>
        <w:tabs>
          <w:tab w:val="num" w:pos="360"/>
        </w:tabs>
        <w:ind w:left="360" w:hanging="360"/>
      </w:pPr>
      <w:rPr>
        <w:rFonts w:ascii="Symbol" w:hAnsi="Symbol" w:hint="default"/>
        <w:color w:val="009FE3" w:themeColor="background2"/>
      </w:rPr>
    </w:lvl>
  </w:abstractNum>
  <w:abstractNum w:abstractNumId="2" w15:restartNumberingAfterBreak="0">
    <w:nsid w:val="0060124D"/>
    <w:multiLevelType w:val="hybridMultilevel"/>
    <w:tmpl w:val="8DA8CC18"/>
    <w:lvl w:ilvl="0" w:tplc="C3B6D684">
      <w:start w:val="1"/>
      <w:numFmt w:val="bullet"/>
      <w:lvlText w:val=""/>
      <w:lvlJc w:val="left"/>
      <w:pPr>
        <w:ind w:left="720" w:hanging="360"/>
      </w:pPr>
      <w:rPr>
        <w:rFonts w:ascii="Symbol" w:hAnsi="Symbol" w:hint="default"/>
        <w:color w:val="41C0F0" w:themeColor="accent1"/>
        <w:u w:color="68C0B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01069"/>
    <w:multiLevelType w:val="hybridMultilevel"/>
    <w:tmpl w:val="5F62B5A6"/>
    <w:lvl w:ilvl="0" w:tplc="F0548D8E">
      <w:start w:val="1"/>
      <w:numFmt w:val="bullet"/>
      <w:pStyle w:val="List"/>
      <w:lvlText w:val=""/>
      <w:lvlJc w:val="left"/>
      <w:pPr>
        <w:ind w:left="720" w:hanging="360"/>
      </w:pPr>
      <w:rPr>
        <w:rFonts w:ascii="Symbol" w:hAnsi="Symbol" w:hint="default"/>
        <w:color w:val="009F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72F2A"/>
    <w:multiLevelType w:val="hybridMultilevel"/>
    <w:tmpl w:val="4A6E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0420C"/>
    <w:multiLevelType w:val="hybridMultilevel"/>
    <w:tmpl w:val="00B4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948D7"/>
    <w:multiLevelType w:val="hybridMultilevel"/>
    <w:tmpl w:val="111E08E4"/>
    <w:lvl w:ilvl="0" w:tplc="8A30BAA4">
      <w:start w:val="1"/>
      <w:numFmt w:val="bullet"/>
      <w:lvlText w:val=""/>
      <w:lvlJc w:val="left"/>
      <w:pPr>
        <w:ind w:left="720" w:hanging="360"/>
      </w:pPr>
      <w:rPr>
        <w:rFonts w:ascii="Symbol" w:hAnsi="Symbol" w:hint="default"/>
        <w:color w:val="009FE3"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34E2D"/>
    <w:multiLevelType w:val="hybridMultilevel"/>
    <w:tmpl w:val="5A001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40509"/>
    <w:multiLevelType w:val="hybridMultilevel"/>
    <w:tmpl w:val="510821EE"/>
    <w:lvl w:ilvl="0" w:tplc="669E459E">
      <w:start w:val="1"/>
      <w:numFmt w:val="decimal"/>
      <w:pStyle w:val="AppendixHeading"/>
      <w:lvlText w:val="Appendix %1"/>
      <w:lvlJc w:val="left"/>
      <w:pPr>
        <w:ind w:left="360" w:hanging="360"/>
      </w:pPr>
      <w:rPr>
        <w:rFonts w:ascii="Arial Bold" w:cs="Times New Roman" w:hint="cs"/>
        <w:b/>
        <w:bCs w:val="0"/>
        <w:i w:val="0"/>
        <w:iCs w:val="0"/>
        <w:caps w:val="0"/>
        <w:smallCaps w:val="0"/>
        <w:strike w:val="0"/>
        <w:dstrike w:val="0"/>
        <w:noProof w:val="0"/>
        <w:vanish w:val="0"/>
        <w:color w:val="009FE3" w:themeColor="background2"/>
        <w:spacing w:val="0"/>
        <w:kern w:val="0"/>
        <w:position w:val="0"/>
        <w:sz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E2E6792"/>
    <w:multiLevelType w:val="hybridMultilevel"/>
    <w:tmpl w:val="5066BFE4"/>
    <w:lvl w:ilvl="0" w:tplc="24C63370">
      <w:start w:val="1"/>
      <w:numFmt w:val="bullet"/>
      <w:lvlText w:val=""/>
      <w:lvlJc w:val="left"/>
      <w:pPr>
        <w:ind w:left="720" w:hanging="360"/>
      </w:pPr>
      <w:rPr>
        <w:rFonts w:ascii="Symbol" w:hAnsi="Symbol" w:hint="default"/>
        <w:color w:val="009FE3"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47E14"/>
    <w:multiLevelType w:val="hybridMultilevel"/>
    <w:tmpl w:val="5296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A335E"/>
    <w:multiLevelType w:val="hybridMultilevel"/>
    <w:tmpl w:val="6AB898F6"/>
    <w:lvl w:ilvl="0" w:tplc="B51C8EB2">
      <w:start w:val="1"/>
      <w:numFmt w:val="decimal"/>
      <w:pStyle w:val="NumberedList"/>
      <w:lvlText w:val="%1."/>
      <w:lvlJc w:val="left"/>
      <w:pPr>
        <w:ind w:left="720" w:hanging="360"/>
      </w:pPr>
      <w:rPr>
        <w:rFonts w:ascii="Segoe UI" w:hAnsi="Segoe UI" w:hint="default"/>
        <w:b w:val="0"/>
        <w:i w:val="0"/>
        <w:color w:val="009FE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655FE"/>
    <w:multiLevelType w:val="hybridMultilevel"/>
    <w:tmpl w:val="933A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E75FE"/>
    <w:multiLevelType w:val="hybridMultilevel"/>
    <w:tmpl w:val="C1241998"/>
    <w:lvl w:ilvl="0" w:tplc="410CCF7C">
      <w:start w:val="1"/>
      <w:numFmt w:val="bullet"/>
      <w:lvlText w:val="•"/>
      <w:lvlJc w:val="left"/>
      <w:pPr>
        <w:tabs>
          <w:tab w:val="num" w:pos="720"/>
        </w:tabs>
        <w:ind w:left="720" w:hanging="360"/>
      </w:pPr>
      <w:rPr>
        <w:rFonts w:ascii="Arial" w:hAnsi="Arial" w:hint="default"/>
      </w:rPr>
    </w:lvl>
    <w:lvl w:ilvl="1" w:tplc="6FA698B0">
      <w:start w:val="1"/>
      <w:numFmt w:val="bullet"/>
      <w:lvlText w:val="•"/>
      <w:lvlJc w:val="left"/>
      <w:pPr>
        <w:tabs>
          <w:tab w:val="num" w:pos="1440"/>
        </w:tabs>
        <w:ind w:left="1440" w:hanging="360"/>
      </w:pPr>
      <w:rPr>
        <w:rFonts w:ascii="Arial" w:hAnsi="Arial" w:hint="default"/>
      </w:rPr>
    </w:lvl>
    <w:lvl w:ilvl="2" w:tplc="275A2150" w:tentative="1">
      <w:start w:val="1"/>
      <w:numFmt w:val="bullet"/>
      <w:lvlText w:val="•"/>
      <w:lvlJc w:val="left"/>
      <w:pPr>
        <w:tabs>
          <w:tab w:val="num" w:pos="2160"/>
        </w:tabs>
        <w:ind w:left="2160" w:hanging="360"/>
      </w:pPr>
      <w:rPr>
        <w:rFonts w:ascii="Arial" w:hAnsi="Arial" w:hint="default"/>
      </w:rPr>
    </w:lvl>
    <w:lvl w:ilvl="3" w:tplc="3AF2DE00" w:tentative="1">
      <w:start w:val="1"/>
      <w:numFmt w:val="bullet"/>
      <w:lvlText w:val="•"/>
      <w:lvlJc w:val="left"/>
      <w:pPr>
        <w:tabs>
          <w:tab w:val="num" w:pos="2880"/>
        </w:tabs>
        <w:ind w:left="2880" w:hanging="360"/>
      </w:pPr>
      <w:rPr>
        <w:rFonts w:ascii="Arial" w:hAnsi="Arial" w:hint="default"/>
      </w:rPr>
    </w:lvl>
    <w:lvl w:ilvl="4" w:tplc="3D88D988" w:tentative="1">
      <w:start w:val="1"/>
      <w:numFmt w:val="bullet"/>
      <w:lvlText w:val="•"/>
      <w:lvlJc w:val="left"/>
      <w:pPr>
        <w:tabs>
          <w:tab w:val="num" w:pos="3600"/>
        </w:tabs>
        <w:ind w:left="3600" w:hanging="360"/>
      </w:pPr>
      <w:rPr>
        <w:rFonts w:ascii="Arial" w:hAnsi="Arial" w:hint="default"/>
      </w:rPr>
    </w:lvl>
    <w:lvl w:ilvl="5" w:tplc="CF4E6840" w:tentative="1">
      <w:start w:val="1"/>
      <w:numFmt w:val="bullet"/>
      <w:lvlText w:val="•"/>
      <w:lvlJc w:val="left"/>
      <w:pPr>
        <w:tabs>
          <w:tab w:val="num" w:pos="4320"/>
        </w:tabs>
        <w:ind w:left="4320" w:hanging="360"/>
      </w:pPr>
      <w:rPr>
        <w:rFonts w:ascii="Arial" w:hAnsi="Arial" w:hint="default"/>
      </w:rPr>
    </w:lvl>
    <w:lvl w:ilvl="6" w:tplc="BDE80BB2" w:tentative="1">
      <w:start w:val="1"/>
      <w:numFmt w:val="bullet"/>
      <w:lvlText w:val="•"/>
      <w:lvlJc w:val="left"/>
      <w:pPr>
        <w:tabs>
          <w:tab w:val="num" w:pos="5040"/>
        </w:tabs>
        <w:ind w:left="5040" w:hanging="360"/>
      </w:pPr>
      <w:rPr>
        <w:rFonts w:ascii="Arial" w:hAnsi="Arial" w:hint="default"/>
      </w:rPr>
    </w:lvl>
    <w:lvl w:ilvl="7" w:tplc="1B4488A4" w:tentative="1">
      <w:start w:val="1"/>
      <w:numFmt w:val="bullet"/>
      <w:lvlText w:val="•"/>
      <w:lvlJc w:val="left"/>
      <w:pPr>
        <w:tabs>
          <w:tab w:val="num" w:pos="5760"/>
        </w:tabs>
        <w:ind w:left="5760" w:hanging="360"/>
      </w:pPr>
      <w:rPr>
        <w:rFonts w:ascii="Arial" w:hAnsi="Arial" w:hint="default"/>
      </w:rPr>
    </w:lvl>
    <w:lvl w:ilvl="8" w:tplc="9552D2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F17E02"/>
    <w:multiLevelType w:val="hybridMultilevel"/>
    <w:tmpl w:val="518A973C"/>
    <w:lvl w:ilvl="0" w:tplc="0D26BCA0">
      <w:start w:val="1"/>
      <w:numFmt w:val="bullet"/>
      <w:lvlText w:val=""/>
      <w:lvlJc w:val="left"/>
      <w:pPr>
        <w:ind w:left="720" w:hanging="360"/>
      </w:pPr>
      <w:rPr>
        <w:rFonts w:ascii="Symbol" w:hAnsi="Symbol" w:hint="default"/>
        <w:color w:val="F687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C3506"/>
    <w:multiLevelType w:val="hybridMultilevel"/>
    <w:tmpl w:val="CF4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136F5"/>
    <w:multiLevelType w:val="hybridMultilevel"/>
    <w:tmpl w:val="939C3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F924B1"/>
    <w:multiLevelType w:val="hybridMultilevel"/>
    <w:tmpl w:val="48EAA42C"/>
    <w:lvl w:ilvl="0" w:tplc="C3B6D684">
      <w:start w:val="1"/>
      <w:numFmt w:val="bullet"/>
      <w:lvlText w:val=""/>
      <w:lvlJc w:val="left"/>
      <w:pPr>
        <w:ind w:left="720" w:hanging="360"/>
      </w:pPr>
      <w:rPr>
        <w:rFonts w:ascii="Symbol" w:hAnsi="Symbol" w:hint="default"/>
        <w:color w:val="41C0F0" w:themeColor="accent1"/>
        <w:u w:color="68C0B5" w:themeColor="accent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6945507">
    <w:abstractNumId w:val="8"/>
  </w:num>
  <w:num w:numId="2" w16cid:durableId="1636183597">
    <w:abstractNumId w:val="1"/>
  </w:num>
  <w:num w:numId="3" w16cid:durableId="887572030">
    <w:abstractNumId w:val="0"/>
  </w:num>
  <w:num w:numId="4" w16cid:durableId="1015114034">
    <w:abstractNumId w:val="14"/>
  </w:num>
  <w:num w:numId="5" w16cid:durableId="48502689">
    <w:abstractNumId w:val="1"/>
  </w:num>
  <w:num w:numId="6" w16cid:durableId="462231846">
    <w:abstractNumId w:val="0"/>
  </w:num>
  <w:num w:numId="7" w16cid:durableId="1077823004">
    <w:abstractNumId w:val="8"/>
  </w:num>
  <w:num w:numId="8" w16cid:durableId="2009282260">
    <w:abstractNumId w:val="14"/>
  </w:num>
  <w:num w:numId="9" w16cid:durableId="512720107">
    <w:abstractNumId w:val="1"/>
  </w:num>
  <w:num w:numId="10" w16cid:durableId="1983347571">
    <w:abstractNumId w:val="0"/>
  </w:num>
  <w:num w:numId="11" w16cid:durableId="412168027">
    <w:abstractNumId w:val="8"/>
  </w:num>
  <w:num w:numId="12" w16cid:durableId="1088622162">
    <w:abstractNumId w:val="14"/>
  </w:num>
  <w:num w:numId="13" w16cid:durableId="870412121">
    <w:abstractNumId w:val="1"/>
  </w:num>
  <w:num w:numId="14" w16cid:durableId="1566185490">
    <w:abstractNumId w:val="0"/>
  </w:num>
  <w:num w:numId="15" w16cid:durableId="383407710">
    <w:abstractNumId w:val="8"/>
  </w:num>
  <w:num w:numId="16" w16cid:durableId="997805552">
    <w:abstractNumId w:val="3"/>
  </w:num>
  <w:num w:numId="17" w16cid:durableId="1620137131">
    <w:abstractNumId w:val="11"/>
  </w:num>
  <w:num w:numId="18" w16cid:durableId="1451587716">
    <w:abstractNumId w:val="7"/>
  </w:num>
  <w:num w:numId="19" w16cid:durableId="1101685104">
    <w:abstractNumId w:val="13"/>
  </w:num>
  <w:num w:numId="20" w16cid:durableId="64497812">
    <w:abstractNumId w:val="15"/>
  </w:num>
  <w:num w:numId="21" w16cid:durableId="333730342">
    <w:abstractNumId w:val="2"/>
  </w:num>
  <w:num w:numId="22" w16cid:durableId="11536">
    <w:abstractNumId w:val="5"/>
  </w:num>
  <w:num w:numId="23" w16cid:durableId="383791584">
    <w:abstractNumId w:val="12"/>
  </w:num>
  <w:num w:numId="24" w16cid:durableId="952903340">
    <w:abstractNumId w:val="6"/>
  </w:num>
  <w:num w:numId="25" w16cid:durableId="117453414">
    <w:abstractNumId w:val="9"/>
  </w:num>
  <w:num w:numId="26" w16cid:durableId="1360937120">
    <w:abstractNumId w:val="16"/>
  </w:num>
  <w:num w:numId="27" w16cid:durableId="253056966">
    <w:abstractNumId w:val="4"/>
  </w:num>
  <w:num w:numId="28" w16cid:durableId="1445734051">
    <w:abstractNumId w:val="17"/>
  </w:num>
  <w:num w:numId="29" w16cid:durableId="1753971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9F"/>
    <w:rsid w:val="00011645"/>
    <w:rsid w:val="00020499"/>
    <w:rsid w:val="000221F1"/>
    <w:rsid w:val="00024025"/>
    <w:rsid w:val="000615E9"/>
    <w:rsid w:val="000646F4"/>
    <w:rsid w:val="00074C08"/>
    <w:rsid w:val="00084443"/>
    <w:rsid w:val="00084E1C"/>
    <w:rsid w:val="000B39E9"/>
    <w:rsid w:val="000C6406"/>
    <w:rsid w:val="000D78D2"/>
    <w:rsid w:val="000D7D8B"/>
    <w:rsid w:val="001132C3"/>
    <w:rsid w:val="001345BF"/>
    <w:rsid w:val="0013731C"/>
    <w:rsid w:val="001919F9"/>
    <w:rsid w:val="001D4B3F"/>
    <w:rsid w:val="001D606F"/>
    <w:rsid w:val="001D72B1"/>
    <w:rsid w:val="001E70CB"/>
    <w:rsid w:val="00207A15"/>
    <w:rsid w:val="00212021"/>
    <w:rsid w:val="00222232"/>
    <w:rsid w:val="002258B1"/>
    <w:rsid w:val="00226672"/>
    <w:rsid w:val="00227B73"/>
    <w:rsid w:val="00240333"/>
    <w:rsid w:val="002479F2"/>
    <w:rsid w:val="0027786B"/>
    <w:rsid w:val="002A58FA"/>
    <w:rsid w:val="002A6D82"/>
    <w:rsid w:val="002B2947"/>
    <w:rsid w:val="002D359D"/>
    <w:rsid w:val="002F62C4"/>
    <w:rsid w:val="003072CC"/>
    <w:rsid w:val="00313670"/>
    <w:rsid w:val="00331E6A"/>
    <w:rsid w:val="00347232"/>
    <w:rsid w:val="003D512A"/>
    <w:rsid w:val="003D6490"/>
    <w:rsid w:val="004050CA"/>
    <w:rsid w:val="00405CE4"/>
    <w:rsid w:val="00436617"/>
    <w:rsid w:val="00440989"/>
    <w:rsid w:val="00441051"/>
    <w:rsid w:val="0046306A"/>
    <w:rsid w:val="00472951"/>
    <w:rsid w:val="00476225"/>
    <w:rsid w:val="004A3ADE"/>
    <w:rsid w:val="004A5EEF"/>
    <w:rsid w:val="004B57B9"/>
    <w:rsid w:val="004C20B1"/>
    <w:rsid w:val="004D3364"/>
    <w:rsid w:val="004D435D"/>
    <w:rsid w:val="005161B9"/>
    <w:rsid w:val="0051763C"/>
    <w:rsid w:val="00517886"/>
    <w:rsid w:val="00532F25"/>
    <w:rsid w:val="00532FF4"/>
    <w:rsid w:val="00540CAF"/>
    <w:rsid w:val="005414B9"/>
    <w:rsid w:val="00566628"/>
    <w:rsid w:val="005801B7"/>
    <w:rsid w:val="005919F4"/>
    <w:rsid w:val="005A6328"/>
    <w:rsid w:val="005E1AC4"/>
    <w:rsid w:val="005F37F5"/>
    <w:rsid w:val="005F46B4"/>
    <w:rsid w:val="005F5026"/>
    <w:rsid w:val="00611A42"/>
    <w:rsid w:val="00615554"/>
    <w:rsid w:val="00617CC0"/>
    <w:rsid w:val="006462EC"/>
    <w:rsid w:val="006520A2"/>
    <w:rsid w:val="00663A37"/>
    <w:rsid w:val="0067576B"/>
    <w:rsid w:val="0069487D"/>
    <w:rsid w:val="006A05BE"/>
    <w:rsid w:val="006E6B43"/>
    <w:rsid w:val="00740E4E"/>
    <w:rsid w:val="007662CC"/>
    <w:rsid w:val="007706BD"/>
    <w:rsid w:val="007710EB"/>
    <w:rsid w:val="007871B7"/>
    <w:rsid w:val="007B474C"/>
    <w:rsid w:val="007D6EFD"/>
    <w:rsid w:val="007F012D"/>
    <w:rsid w:val="007F4127"/>
    <w:rsid w:val="0080341A"/>
    <w:rsid w:val="00837D7F"/>
    <w:rsid w:val="008452ED"/>
    <w:rsid w:val="00857D49"/>
    <w:rsid w:val="0087102C"/>
    <w:rsid w:val="00895DFD"/>
    <w:rsid w:val="008B1012"/>
    <w:rsid w:val="008B5906"/>
    <w:rsid w:val="008C59C9"/>
    <w:rsid w:val="008E2605"/>
    <w:rsid w:val="00914168"/>
    <w:rsid w:val="00915548"/>
    <w:rsid w:val="0094279F"/>
    <w:rsid w:val="009513A5"/>
    <w:rsid w:val="00951480"/>
    <w:rsid w:val="00965216"/>
    <w:rsid w:val="009842CE"/>
    <w:rsid w:val="009D0539"/>
    <w:rsid w:val="009E0274"/>
    <w:rsid w:val="009E1C26"/>
    <w:rsid w:val="00A52EA5"/>
    <w:rsid w:val="00A57FEB"/>
    <w:rsid w:val="00A80D07"/>
    <w:rsid w:val="00AA15E6"/>
    <w:rsid w:val="00AD2742"/>
    <w:rsid w:val="00AE6878"/>
    <w:rsid w:val="00B27383"/>
    <w:rsid w:val="00B67330"/>
    <w:rsid w:val="00B8240D"/>
    <w:rsid w:val="00B87524"/>
    <w:rsid w:val="00B96F92"/>
    <w:rsid w:val="00BA5422"/>
    <w:rsid w:val="00BD491C"/>
    <w:rsid w:val="00BF3FEF"/>
    <w:rsid w:val="00BF4357"/>
    <w:rsid w:val="00C3595E"/>
    <w:rsid w:val="00C36479"/>
    <w:rsid w:val="00C56BAB"/>
    <w:rsid w:val="00C60A83"/>
    <w:rsid w:val="00C65889"/>
    <w:rsid w:val="00CA385C"/>
    <w:rsid w:val="00CC20A5"/>
    <w:rsid w:val="00CF25DF"/>
    <w:rsid w:val="00CF4CBE"/>
    <w:rsid w:val="00D16868"/>
    <w:rsid w:val="00D237AA"/>
    <w:rsid w:val="00D32C93"/>
    <w:rsid w:val="00D32F2B"/>
    <w:rsid w:val="00DD7BEB"/>
    <w:rsid w:val="00E60582"/>
    <w:rsid w:val="00E81D6A"/>
    <w:rsid w:val="00E83A51"/>
    <w:rsid w:val="00E9578F"/>
    <w:rsid w:val="00EA3BA2"/>
    <w:rsid w:val="00EB5CDA"/>
    <w:rsid w:val="00EC4E7F"/>
    <w:rsid w:val="00ED33CD"/>
    <w:rsid w:val="00F05E01"/>
    <w:rsid w:val="00F05FAB"/>
    <w:rsid w:val="00F103EE"/>
    <w:rsid w:val="00F93D57"/>
    <w:rsid w:val="00FD1B1B"/>
    <w:rsid w:val="00FD41F5"/>
    <w:rsid w:val="00FE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22C17"/>
  <w15:chartTrackingRefBased/>
  <w15:docId w15:val="{5777E08D-5971-4354-9BAF-65FD475F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1"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5"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spacing)"/>
    <w:qFormat/>
    <w:rsid w:val="00F05FAB"/>
    <w:pPr>
      <w:spacing w:after="0" w:line="240" w:lineRule="auto"/>
    </w:pPr>
    <w:rPr>
      <w:rFonts w:ascii="Segoe UI" w:hAnsi="Segoe UI"/>
      <w:szCs w:val="24"/>
      <w:lang w:val="en-US" w:bidi="en-US"/>
    </w:rPr>
  </w:style>
  <w:style w:type="paragraph" w:styleId="Heading1">
    <w:name w:val="heading 1"/>
    <w:basedOn w:val="Normal"/>
    <w:next w:val="BodyText"/>
    <w:link w:val="Heading1Char"/>
    <w:qFormat/>
    <w:rsid w:val="00207A15"/>
    <w:pPr>
      <w:keepNext/>
      <w:spacing w:before="240" w:after="240"/>
      <w:outlineLvl w:val="0"/>
    </w:pPr>
    <w:rPr>
      <w:rFonts w:ascii="Segoe UI Semibold" w:eastAsiaTheme="majorEastAsia" w:hAnsi="Segoe UI Semibold"/>
      <w:bCs/>
      <w:color w:val="0069B4"/>
      <w:kern w:val="32"/>
      <w:sz w:val="36"/>
      <w:szCs w:val="32"/>
      <w:lang w:val="en-GB" w:bidi="ar-SA"/>
    </w:rPr>
  </w:style>
  <w:style w:type="paragraph" w:styleId="Heading2">
    <w:name w:val="heading 2"/>
    <w:basedOn w:val="Normal"/>
    <w:next w:val="BodyText"/>
    <w:link w:val="Heading2Char"/>
    <w:qFormat/>
    <w:rsid w:val="00207A15"/>
    <w:pPr>
      <w:keepNext/>
      <w:spacing w:before="240" w:after="120"/>
      <w:outlineLvl w:val="1"/>
    </w:pPr>
    <w:rPr>
      <w:rFonts w:ascii="Segoe UI Semibold" w:eastAsiaTheme="majorEastAsia" w:hAnsi="Segoe UI Semibold"/>
      <w:bCs/>
      <w:iCs/>
      <w:color w:val="009FE3"/>
      <w:sz w:val="28"/>
      <w:szCs w:val="28"/>
      <w:lang w:val="en-GB" w:bidi="ar-SA"/>
    </w:rPr>
  </w:style>
  <w:style w:type="paragraph" w:styleId="Heading3">
    <w:name w:val="heading 3"/>
    <w:basedOn w:val="Normal"/>
    <w:next w:val="BodyText"/>
    <w:link w:val="Heading3Char"/>
    <w:qFormat/>
    <w:rsid w:val="00740E4E"/>
    <w:pPr>
      <w:keepNext/>
      <w:spacing w:before="240" w:after="60"/>
      <w:outlineLvl w:val="2"/>
    </w:pPr>
    <w:rPr>
      <w:rFonts w:ascii="Segoe UI Semibold" w:eastAsiaTheme="majorEastAsia" w:hAnsi="Segoe UI Semibold"/>
      <w:bCs/>
      <w:color w:val="68C0B5" w:themeColor="accent5"/>
      <w:sz w:val="24"/>
      <w:szCs w:val="26"/>
      <w:lang w:val="en-GB" w:bidi="ar-SA"/>
    </w:rPr>
  </w:style>
  <w:style w:type="paragraph" w:styleId="Heading5">
    <w:name w:val="heading 5"/>
    <w:basedOn w:val="Normal"/>
    <w:next w:val="Normal"/>
    <w:link w:val="Heading5Char"/>
    <w:uiPriority w:val="9"/>
    <w:semiHidden/>
    <w:unhideWhenUsed/>
    <w:qFormat/>
    <w:rsid w:val="000646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46F4"/>
    <w:pPr>
      <w:spacing w:before="240" w:after="60"/>
      <w:outlineLvl w:val="5"/>
    </w:pPr>
    <w:rPr>
      <w:b/>
      <w:bCs/>
    </w:rPr>
  </w:style>
  <w:style w:type="paragraph" w:styleId="Heading7">
    <w:name w:val="heading 7"/>
    <w:basedOn w:val="Normal"/>
    <w:next w:val="Normal"/>
    <w:link w:val="Heading7Char"/>
    <w:uiPriority w:val="9"/>
    <w:semiHidden/>
    <w:unhideWhenUsed/>
    <w:qFormat/>
    <w:rsid w:val="000646F4"/>
    <w:pPr>
      <w:spacing w:before="240" w:after="60"/>
      <w:outlineLvl w:val="6"/>
    </w:pPr>
    <w:rPr>
      <w:sz w:val="24"/>
    </w:rPr>
  </w:style>
  <w:style w:type="paragraph" w:styleId="Heading8">
    <w:name w:val="heading 8"/>
    <w:basedOn w:val="Normal"/>
    <w:next w:val="Normal"/>
    <w:link w:val="Heading8Char"/>
    <w:uiPriority w:val="9"/>
    <w:semiHidden/>
    <w:unhideWhenUsed/>
    <w:qFormat/>
    <w:rsid w:val="000646F4"/>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646F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FrontPageScheme">
    <w:name w:val="bwFrontPageScheme"/>
    <w:basedOn w:val="Normal"/>
    <w:uiPriority w:val="4"/>
    <w:rsid w:val="000646F4"/>
    <w:pPr>
      <w:jc w:val="right"/>
    </w:pPr>
    <w:rPr>
      <w:b/>
      <w:color w:val="00446A"/>
      <w:sz w:val="64"/>
    </w:rPr>
  </w:style>
  <w:style w:type="paragraph" w:customStyle="1" w:styleId="bwFrontPageJob">
    <w:name w:val="bwFrontPageJob"/>
    <w:basedOn w:val="Normal"/>
    <w:uiPriority w:val="4"/>
    <w:rsid w:val="000646F4"/>
    <w:pPr>
      <w:jc w:val="right"/>
    </w:pPr>
    <w:rPr>
      <w:color w:val="00446A"/>
      <w:sz w:val="36"/>
    </w:rPr>
  </w:style>
  <w:style w:type="paragraph" w:customStyle="1" w:styleId="bwFrontPageDetails">
    <w:name w:val="bwFrontPageDetails"/>
    <w:basedOn w:val="Normal"/>
    <w:uiPriority w:val="4"/>
    <w:rsid w:val="000646F4"/>
    <w:pPr>
      <w:spacing w:before="60"/>
      <w:jc w:val="right"/>
    </w:pPr>
    <w:rPr>
      <w:color w:val="00446A"/>
      <w:sz w:val="28"/>
    </w:rPr>
  </w:style>
  <w:style w:type="paragraph" w:customStyle="1" w:styleId="bwFrontPageDate">
    <w:name w:val="bwFrontPageDate"/>
    <w:basedOn w:val="Normal"/>
    <w:uiPriority w:val="4"/>
    <w:rsid w:val="000646F4"/>
    <w:pPr>
      <w:spacing w:before="240"/>
      <w:jc w:val="right"/>
    </w:pPr>
    <w:rPr>
      <w:color w:val="00446A"/>
    </w:rPr>
  </w:style>
  <w:style w:type="paragraph" w:customStyle="1" w:styleId="AppendixHeading">
    <w:name w:val="Appendix Heading"/>
    <w:basedOn w:val="Normal"/>
    <w:next w:val="AppendixBodyText"/>
    <w:uiPriority w:val="2"/>
    <w:rsid w:val="000646F4"/>
    <w:pPr>
      <w:pageBreakBefore/>
      <w:numPr>
        <w:numId w:val="15"/>
      </w:numPr>
      <w:spacing w:before="240" w:after="240"/>
    </w:pPr>
    <w:rPr>
      <w:b/>
      <w:color w:val="009FE3" w:themeColor="background2"/>
      <w:sz w:val="36"/>
    </w:rPr>
  </w:style>
  <w:style w:type="paragraph" w:customStyle="1" w:styleId="bwFooterLeft">
    <w:name w:val="bwFooterLeft"/>
    <w:basedOn w:val="bwFooterRight"/>
    <w:uiPriority w:val="3"/>
    <w:rsid w:val="007710EB"/>
    <w:pPr>
      <w:jc w:val="left"/>
    </w:pPr>
  </w:style>
  <w:style w:type="paragraph" w:customStyle="1" w:styleId="bwFooterRight">
    <w:name w:val="bwFooterRight"/>
    <w:basedOn w:val="Normal"/>
    <w:uiPriority w:val="3"/>
    <w:rsid w:val="007710EB"/>
    <w:pPr>
      <w:jc w:val="right"/>
    </w:pPr>
    <w:rPr>
      <w:color w:val="797979"/>
      <w:sz w:val="13"/>
      <w:szCs w:val="22"/>
    </w:rPr>
  </w:style>
  <w:style w:type="paragraph" w:customStyle="1" w:styleId="AppendixBodyText">
    <w:name w:val="Appendix Body Text"/>
    <w:basedOn w:val="Normal"/>
    <w:link w:val="AppendixBodyTextChar"/>
    <w:uiPriority w:val="2"/>
    <w:rsid w:val="000646F4"/>
    <w:pPr>
      <w:spacing w:after="200"/>
      <w:jc w:val="both"/>
    </w:pPr>
  </w:style>
  <w:style w:type="character" w:customStyle="1" w:styleId="AppendixBodyTextChar">
    <w:name w:val="Appendix Body Text Char"/>
    <w:basedOn w:val="DefaultParagraphFont"/>
    <w:link w:val="AppendixBodyText"/>
    <w:uiPriority w:val="2"/>
    <w:rsid w:val="000646F4"/>
    <w:rPr>
      <w:rFonts w:ascii="Segoe UI" w:hAnsi="Segoe UI"/>
    </w:rPr>
  </w:style>
  <w:style w:type="paragraph" w:customStyle="1" w:styleId="Subject">
    <w:name w:val="Subject"/>
    <w:basedOn w:val="Normal"/>
    <w:next w:val="BodyText"/>
    <w:link w:val="SubjectChar"/>
    <w:rsid w:val="002B2947"/>
    <w:pPr>
      <w:spacing w:after="300"/>
      <w:contextualSpacing/>
    </w:pPr>
    <w:rPr>
      <w:rFonts w:cstheme="minorBidi"/>
      <w:color w:val="009FE3"/>
      <w:sz w:val="22"/>
      <w:szCs w:val="22"/>
      <w:lang w:val="en-GB" w:bidi="ar-SA"/>
    </w:rPr>
  </w:style>
  <w:style w:type="character" w:customStyle="1" w:styleId="SubjectChar">
    <w:name w:val="Subject Char"/>
    <w:basedOn w:val="DefaultParagraphFont"/>
    <w:link w:val="Subject"/>
    <w:rsid w:val="002B2947"/>
    <w:rPr>
      <w:rFonts w:ascii="Segoe UI" w:hAnsi="Segoe UI" w:cstheme="minorBidi"/>
      <w:color w:val="009FE3"/>
      <w:sz w:val="22"/>
      <w:szCs w:val="22"/>
    </w:rPr>
  </w:style>
  <w:style w:type="paragraph" w:styleId="BodyText">
    <w:name w:val="Body Text"/>
    <w:aliases w:val="bt,bt + Arial,10 pt,Bold,Indigo,Left:  0 cm,Hanging:  1 cm"/>
    <w:basedOn w:val="Normal"/>
    <w:link w:val="BodyTextChar"/>
    <w:qFormat/>
    <w:rsid w:val="000646F4"/>
    <w:pPr>
      <w:spacing w:after="200"/>
      <w:jc w:val="both"/>
    </w:pPr>
    <w:rPr>
      <w:szCs w:val="20"/>
      <w:lang w:val="en-GB" w:bidi="ar-SA"/>
    </w:rPr>
  </w:style>
  <w:style w:type="character" w:customStyle="1" w:styleId="BodyTextChar">
    <w:name w:val="Body Text Char"/>
    <w:aliases w:val="bt Char,bt + Arial Char,10 pt Char,Bold Char,Indigo Char,Left:  0 cm Char,Hanging:  1 cm Char"/>
    <w:basedOn w:val="DefaultParagraphFont"/>
    <w:link w:val="BodyText"/>
    <w:rsid w:val="000646F4"/>
    <w:rPr>
      <w:rFonts w:ascii="Segoe UI" w:hAnsi="Segoe UI"/>
    </w:rPr>
  </w:style>
  <w:style w:type="paragraph" w:customStyle="1" w:styleId="AppendixListBullet">
    <w:name w:val="Appendix List Bullet"/>
    <w:basedOn w:val="ListBullet"/>
    <w:uiPriority w:val="2"/>
    <w:semiHidden/>
    <w:qFormat/>
    <w:rsid w:val="000646F4"/>
    <w:pPr>
      <w:numPr>
        <w:numId w:val="0"/>
      </w:numPr>
    </w:pPr>
  </w:style>
  <w:style w:type="paragraph" w:styleId="ListBullet">
    <w:name w:val="List Bullet"/>
    <w:basedOn w:val="Normal"/>
    <w:uiPriority w:val="1"/>
    <w:semiHidden/>
    <w:qFormat/>
    <w:rsid w:val="000646F4"/>
    <w:pPr>
      <w:numPr>
        <w:numId w:val="13"/>
      </w:numPr>
      <w:spacing w:after="240" w:line="276" w:lineRule="auto"/>
      <w:contextualSpacing/>
    </w:pPr>
    <w:rPr>
      <w:szCs w:val="20"/>
      <w:lang w:val="en-GB" w:bidi="ar-SA"/>
    </w:rPr>
  </w:style>
  <w:style w:type="paragraph" w:customStyle="1" w:styleId="AppendixListNumber">
    <w:name w:val="Appendix List Number"/>
    <w:basedOn w:val="ListNumber"/>
    <w:uiPriority w:val="2"/>
    <w:semiHidden/>
    <w:qFormat/>
    <w:rsid w:val="000646F4"/>
    <w:pPr>
      <w:numPr>
        <w:numId w:val="0"/>
      </w:numPr>
    </w:pPr>
  </w:style>
  <w:style w:type="paragraph" w:styleId="ListNumber">
    <w:name w:val="List Number"/>
    <w:basedOn w:val="Normal"/>
    <w:uiPriority w:val="1"/>
    <w:semiHidden/>
    <w:qFormat/>
    <w:rsid w:val="000646F4"/>
    <w:pPr>
      <w:numPr>
        <w:numId w:val="14"/>
      </w:numPr>
      <w:tabs>
        <w:tab w:val="clear" w:pos="360"/>
      </w:tabs>
      <w:spacing w:after="240" w:line="276" w:lineRule="auto"/>
      <w:ind w:left="2268" w:hanging="2268"/>
      <w:contextualSpacing/>
    </w:pPr>
    <w:rPr>
      <w:szCs w:val="20"/>
      <w:lang w:val="en-GB" w:bidi="ar-SA"/>
    </w:rPr>
  </w:style>
  <w:style w:type="paragraph" w:customStyle="1" w:styleId="AppendixSubheading">
    <w:name w:val="Appendix Subheading"/>
    <w:basedOn w:val="Normal"/>
    <w:next w:val="AppendixBodyText"/>
    <w:uiPriority w:val="2"/>
    <w:rsid w:val="000646F4"/>
    <w:pPr>
      <w:spacing w:before="240" w:after="120"/>
    </w:pPr>
    <w:rPr>
      <w:b/>
      <w:color w:val="009FE3" w:themeColor="background2"/>
      <w:sz w:val="28"/>
    </w:rPr>
  </w:style>
  <w:style w:type="paragraph" w:customStyle="1" w:styleId="LetterSubheading">
    <w:name w:val="Letter Subheading"/>
    <w:basedOn w:val="Subject"/>
    <w:next w:val="BodyText"/>
    <w:link w:val="LetterSubheadingChar"/>
    <w:uiPriority w:val="1"/>
    <w:qFormat/>
    <w:rsid w:val="00D32F2B"/>
    <w:pPr>
      <w:spacing w:after="120"/>
    </w:pPr>
  </w:style>
  <w:style w:type="character" w:customStyle="1" w:styleId="LetterSubheadingChar">
    <w:name w:val="Letter Subheading Char"/>
    <w:basedOn w:val="SubjectChar"/>
    <w:link w:val="LetterSubheading"/>
    <w:uiPriority w:val="1"/>
    <w:rsid w:val="00D32F2B"/>
    <w:rPr>
      <w:rFonts w:ascii="Segoe UI" w:hAnsi="Segoe UI" w:cstheme="minorBidi"/>
      <w:b w:val="0"/>
      <w:color w:val="009FE3"/>
      <w:sz w:val="22"/>
      <w:szCs w:val="22"/>
    </w:rPr>
  </w:style>
  <w:style w:type="paragraph" w:customStyle="1" w:styleId="bwTableText">
    <w:name w:val="bwTableText"/>
    <w:basedOn w:val="NoSpacing"/>
    <w:qFormat/>
    <w:rsid w:val="000646F4"/>
    <w:pPr>
      <w:keepNext/>
    </w:pPr>
  </w:style>
  <w:style w:type="paragraph" w:styleId="NoSpacing">
    <w:name w:val="No Spacing"/>
    <w:basedOn w:val="Normal"/>
    <w:link w:val="NoSpacingChar"/>
    <w:qFormat/>
    <w:rsid w:val="000646F4"/>
    <w:rPr>
      <w:szCs w:val="32"/>
      <w:lang w:val="en-GB" w:bidi="ar-SA"/>
    </w:rPr>
  </w:style>
  <w:style w:type="character" w:customStyle="1" w:styleId="Heading1Char">
    <w:name w:val="Heading 1 Char"/>
    <w:basedOn w:val="DefaultParagraphFont"/>
    <w:link w:val="Heading1"/>
    <w:rsid w:val="00207A15"/>
    <w:rPr>
      <w:rFonts w:ascii="Segoe UI Semibold" w:eastAsiaTheme="majorEastAsia" w:hAnsi="Segoe UI Semibold"/>
      <w:bCs/>
      <w:color w:val="0069B4"/>
      <w:kern w:val="32"/>
      <w:sz w:val="36"/>
      <w:szCs w:val="32"/>
    </w:rPr>
  </w:style>
  <w:style w:type="character" w:customStyle="1" w:styleId="Heading2Char">
    <w:name w:val="Heading 2 Char"/>
    <w:basedOn w:val="DefaultParagraphFont"/>
    <w:link w:val="Heading2"/>
    <w:rsid w:val="00207A15"/>
    <w:rPr>
      <w:rFonts w:ascii="Segoe UI Semibold" w:eastAsiaTheme="majorEastAsia" w:hAnsi="Segoe UI Semibold"/>
      <w:bCs/>
      <w:iCs/>
      <w:color w:val="009FE3"/>
      <w:sz w:val="28"/>
      <w:szCs w:val="28"/>
    </w:rPr>
  </w:style>
  <w:style w:type="character" w:customStyle="1" w:styleId="Heading3Char">
    <w:name w:val="Heading 3 Char"/>
    <w:basedOn w:val="DefaultParagraphFont"/>
    <w:link w:val="Heading3"/>
    <w:rsid w:val="00740E4E"/>
    <w:rPr>
      <w:rFonts w:ascii="Segoe UI Semibold" w:eastAsiaTheme="majorEastAsia" w:hAnsi="Segoe UI Semibold"/>
      <w:bCs/>
      <w:color w:val="68C0B5" w:themeColor="accent5"/>
      <w:sz w:val="24"/>
      <w:szCs w:val="26"/>
    </w:rPr>
  </w:style>
  <w:style w:type="character" w:customStyle="1" w:styleId="Heading5Char">
    <w:name w:val="Heading 5 Char"/>
    <w:basedOn w:val="DefaultParagraphFont"/>
    <w:link w:val="Heading5"/>
    <w:uiPriority w:val="9"/>
    <w:semiHidden/>
    <w:rsid w:val="000646F4"/>
    <w:rPr>
      <w:rFonts w:ascii="Segoe UI" w:hAnsi="Segoe UI"/>
      <w:b/>
      <w:bCs/>
      <w:i/>
      <w:iCs/>
      <w:sz w:val="26"/>
      <w:szCs w:val="26"/>
    </w:rPr>
  </w:style>
  <w:style w:type="character" w:customStyle="1" w:styleId="Heading6Char">
    <w:name w:val="Heading 6 Char"/>
    <w:basedOn w:val="DefaultParagraphFont"/>
    <w:link w:val="Heading6"/>
    <w:uiPriority w:val="9"/>
    <w:semiHidden/>
    <w:rsid w:val="000646F4"/>
    <w:rPr>
      <w:rFonts w:ascii="Segoe UI" w:hAnsi="Segoe UI"/>
      <w:b/>
      <w:bCs/>
    </w:rPr>
  </w:style>
  <w:style w:type="character" w:customStyle="1" w:styleId="Heading7Char">
    <w:name w:val="Heading 7 Char"/>
    <w:basedOn w:val="DefaultParagraphFont"/>
    <w:link w:val="Heading7"/>
    <w:uiPriority w:val="9"/>
    <w:semiHidden/>
    <w:rsid w:val="000646F4"/>
    <w:rPr>
      <w:rFonts w:ascii="Segoe UI" w:hAnsi="Segoe UI"/>
      <w:sz w:val="24"/>
      <w:szCs w:val="24"/>
    </w:rPr>
  </w:style>
  <w:style w:type="character" w:customStyle="1" w:styleId="Heading8Char">
    <w:name w:val="Heading 8 Char"/>
    <w:basedOn w:val="DefaultParagraphFont"/>
    <w:link w:val="Heading8"/>
    <w:uiPriority w:val="9"/>
    <w:semiHidden/>
    <w:rsid w:val="000646F4"/>
    <w:rPr>
      <w:rFonts w:ascii="Segoe UI" w:hAnsi="Segoe UI"/>
      <w:i/>
      <w:iCs/>
      <w:sz w:val="24"/>
      <w:szCs w:val="24"/>
    </w:rPr>
  </w:style>
  <w:style w:type="character" w:customStyle="1" w:styleId="Heading9Char">
    <w:name w:val="Heading 9 Char"/>
    <w:basedOn w:val="DefaultParagraphFont"/>
    <w:link w:val="Heading9"/>
    <w:uiPriority w:val="9"/>
    <w:semiHidden/>
    <w:rsid w:val="000646F4"/>
    <w:rPr>
      <w:rFonts w:asciiTheme="majorHAnsi" w:eastAsiaTheme="majorEastAsia" w:hAnsiTheme="majorHAnsi"/>
    </w:rPr>
  </w:style>
  <w:style w:type="paragraph" w:styleId="List">
    <w:name w:val="List"/>
    <w:basedOn w:val="Normal"/>
    <w:link w:val="ListChar"/>
    <w:qFormat/>
    <w:rsid w:val="000646F4"/>
    <w:pPr>
      <w:numPr>
        <w:numId w:val="16"/>
      </w:numPr>
      <w:spacing w:after="200" w:line="276" w:lineRule="auto"/>
      <w:contextualSpacing/>
    </w:pPr>
    <w:rPr>
      <w:szCs w:val="20"/>
      <w:lang w:val="en-GB" w:bidi="ar-SA"/>
    </w:rPr>
  </w:style>
  <w:style w:type="paragraph" w:styleId="Title">
    <w:name w:val="Title"/>
    <w:basedOn w:val="Normal"/>
    <w:next w:val="Heading1"/>
    <w:link w:val="TitleChar"/>
    <w:uiPriority w:val="2"/>
    <w:qFormat/>
    <w:rsid w:val="000646F4"/>
    <w:pPr>
      <w:spacing w:before="240" w:after="720"/>
      <w:jc w:val="center"/>
    </w:pPr>
    <w:rPr>
      <w:b/>
      <w:color w:val="009FE3" w:themeColor="background2"/>
      <w:sz w:val="44"/>
      <w:szCs w:val="44"/>
      <w:lang w:val="en-GB" w:bidi="ar-SA"/>
    </w:rPr>
  </w:style>
  <w:style w:type="character" w:customStyle="1" w:styleId="TitleChar">
    <w:name w:val="Title Char"/>
    <w:basedOn w:val="DefaultParagraphFont"/>
    <w:link w:val="Title"/>
    <w:uiPriority w:val="2"/>
    <w:rsid w:val="000646F4"/>
    <w:rPr>
      <w:rFonts w:ascii="Segoe UI" w:hAnsi="Segoe UI"/>
      <w:b/>
      <w:color w:val="009FE3" w:themeColor="background2"/>
      <w:sz w:val="44"/>
      <w:szCs w:val="44"/>
    </w:rPr>
  </w:style>
  <w:style w:type="paragraph" w:styleId="Closing">
    <w:name w:val="Closing"/>
    <w:basedOn w:val="Normal"/>
    <w:link w:val="ClosingChar"/>
    <w:uiPriority w:val="1"/>
    <w:qFormat/>
    <w:rsid w:val="000646F4"/>
    <w:pPr>
      <w:spacing w:before="360" w:after="840"/>
    </w:pPr>
    <w:rPr>
      <w:szCs w:val="20"/>
      <w:lang w:val="en-GB" w:bidi="ar-SA"/>
    </w:rPr>
  </w:style>
  <w:style w:type="character" w:customStyle="1" w:styleId="ClosingChar">
    <w:name w:val="Closing Char"/>
    <w:basedOn w:val="DefaultParagraphFont"/>
    <w:link w:val="Closing"/>
    <w:uiPriority w:val="1"/>
    <w:rsid w:val="000646F4"/>
    <w:rPr>
      <w:rFonts w:ascii="Segoe UI" w:hAnsi="Segoe UI"/>
    </w:rPr>
  </w:style>
  <w:style w:type="paragraph" w:styleId="Signature">
    <w:name w:val="Signature"/>
    <w:basedOn w:val="Normal"/>
    <w:link w:val="SignatureChar"/>
    <w:qFormat/>
    <w:rsid w:val="000646F4"/>
    <w:rPr>
      <w:rFonts w:cstheme="minorBidi"/>
      <w:b/>
      <w:szCs w:val="22"/>
      <w:lang w:val="en-GB" w:bidi="ar-SA"/>
    </w:rPr>
  </w:style>
  <w:style w:type="character" w:customStyle="1" w:styleId="SignatureChar">
    <w:name w:val="Signature Char"/>
    <w:basedOn w:val="DefaultParagraphFont"/>
    <w:link w:val="Signature"/>
    <w:rsid w:val="000646F4"/>
    <w:rPr>
      <w:rFonts w:ascii="Segoe UI" w:hAnsi="Segoe UI" w:cstheme="minorBidi"/>
      <w:b/>
      <w:szCs w:val="22"/>
    </w:rPr>
  </w:style>
  <w:style w:type="paragraph" w:styleId="Salutation">
    <w:name w:val="Salutation"/>
    <w:basedOn w:val="Normal"/>
    <w:next w:val="Normal"/>
    <w:link w:val="SalutationChar"/>
    <w:uiPriority w:val="1"/>
    <w:rsid w:val="000646F4"/>
    <w:pPr>
      <w:spacing w:after="240"/>
    </w:pPr>
  </w:style>
  <w:style w:type="character" w:customStyle="1" w:styleId="SalutationChar">
    <w:name w:val="Salutation Char"/>
    <w:basedOn w:val="DefaultParagraphFont"/>
    <w:link w:val="Salutation"/>
    <w:uiPriority w:val="1"/>
    <w:rsid w:val="000646F4"/>
    <w:rPr>
      <w:rFonts w:ascii="Segoe UI" w:hAnsi="Segoe UI"/>
    </w:rPr>
  </w:style>
  <w:style w:type="paragraph" w:styleId="Date">
    <w:name w:val="Date"/>
    <w:basedOn w:val="Normal"/>
    <w:next w:val="Normal"/>
    <w:link w:val="DateChar"/>
    <w:uiPriority w:val="1"/>
    <w:qFormat/>
    <w:rsid w:val="000646F4"/>
    <w:pPr>
      <w:jc w:val="right"/>
    </w:pPr>
    <w:rPr>
      <w:sz w:val="22"/>
      <w:szCs w:val="20"/>
      <w:lang w:val="en-GB" w:bidi="ar-SA"/>
    </w:rPr>
  </w:style>
  <w:style w:type="character" w:customStyle="1" w:styleId="DateChar">
    <w:name w:val="Date Char"/>
    <w:basedOn w:val="DefaultParagraphFont"/>
    <w:link w:val="Date"/>
    <w:uiPriority w:val="1"/>
    <w:rsid w:val="000646F4"/>
    <w:rPr>
      <w:rFonts w:ascii="Segoe UI" w:hAnsi="Segoe UI"/>
      <w:sz w:val="22"/>
    </w:rPr>
  </w:style>
  <w:style w:type="paragraph" w:styleId="BodyText2">
    <w:name w:val="Body Text 2"/>
    <w:basedOn w:val="BodyText"/>
    <w:link w:val="BodyText2Char"/>
    <w:uiPriority w:val="99"/>
    <w:semiHidden/>
    <w:qFormat/>
    <w:rsid w:val="000646F4"/>
  </w:style>
  <w:style w:type="character" w:customStyle="1" w:styleId="BodyText2Char">
    <w:name w:val="Body Text 2 Char"/>
    <w:basedOn w:val="DefaultParagraphFont"/>
    <w:link w:val="BodyText2"/>
    <w:uiPriority w:val="99"/>
    <w:semiHidden/>
    <w:rsid w:val="000646F4"/>
    <w:rPr>
      <w:rFonts w:ascii="Segoe UI" w:hAnsi="Segoe UI"/>
    </w:rPr>
  </w:style>
  <w:style w:type="character" w:styleId="Hyperlink">
    <w:name w:val="Hyperlink"/>
    <w:basedOn w:val="DefaultParagraphFont"/>
    <w:uiPriority w:val="1"/>
    <w:unhideWhenUsed/>
    <w:qFormat/>
    <w:rsid w:val="00D32F2B"/>
    <w:rPr>
      <w:rFonts w:ascii="Segoe UI" w:hAnsi="Segoe UI"/>
      <w:color w:val="009FE3"/>
      <w:sz w:val="20"/>
      <w:u w:val="single"/>
    </w:rPr>
  </w:style>
  <w:style w:type="character" w:customStyle="1" w:styleId="NoSpacingChar">
    <w:name w:val="No Spacing Char"/>
    <w:basedOn w:val="DefaultParagraphFont"/>
    <w:link w:val="NoSpacing"/>
    <w:rsid w:val="000646F4"/>
    <w:rPr>
      <w:rFonts w:ascii="Segoe UI" w:hAnsi="Segoe UI"/>
      <w:szCs w:val="32"/>
    </w:rPr>
  </w:style>
  <w:style w:type="paragraph" w:styleId="TOCHeading">
    <w:name w:val="TOC Heading"/>
    <w:next w:val="Normal"/>
    <w:uiPriority w:val="5"/>
    <w:rsid w:val="000646F4"/>
    <w:pPr>
      <w:keepNext/>
      <w:spacing w:before="200"/>
    </w:pPr>
    <w:rPr>
      <w:rFonts w:ascii="Segoe UI" w:eastAsiaTheme="majorEastAsia" w:hAnsi="Segoe UI"/>
      <w:b/>
      <w:bCs/>
      <w:color w:val="009FE3" w:themeColor="background2"/>
      <w:kern w:val="32"/>
      <w:sz w:val="36"/>
      <w:szCs w:val="32"/>
    </w:rPr>
  </w:style>
  <w:style w:type="paragraph" w:customStyle="1" w:styleId="NumberedList">
    <w:name w:val="Numbered List"/>
    <w:basedOn w:val="List"/>
    <w:link w:val="NumberedListChar"/>
    <w:qFormat/>
    <w:rsid w:val="000221F1"/>
    <w:pPr>
      <w:numPr>
        <w:numId w:val="17"/>
      </w:numPr>
    </w:pPr>
  </w:style>
  <w:style w:type="paragraph" w:customStyle="1" w:styleId="Frontpageheader1">
    <w:name w:val="Front page header 1"/>
    <w:basedOn w:val="Heading1"/>
    <w:link w:val="Frontpageheader1Char"/>
    <w:qFormat/>
    <w:rsid w:val="00207A15"/>
    <w:rPr>
      <w:sz w:val="56"/>
      <w:szCs w:val="56"/>
    </w:rPr>
  </w:style>
  <w:style w:type="character" w:customStyle="1" w:styleId="ListChar">
    <w:name w:val="List Char"/>
    <w:basedOn w:val="DefaultParagraphFont"/>
    <w:link w:val="List"/>
    <w:rsid w:val="000221F1"/>
    <w:rPr>
      <w:rFonts w:ascii="Segoe UI" w:hAnsi="Segoe UI"/>
    </w:rPr>
  </w:style>
  <w:style w:type="character" w:customStyle="1" w:styleId="NumberedListChar">
    <w:name w:val="Numbered List Char"/>
    <w:basedOn w:val="ListChar"/>
    <w:link w:val="NumberedList"/>
    <w:rsid w:val="000221F1"/>
    <w:rPr>
      <w:rFonts w:ascii="Segoe UI" w:hAnsi="Segoe UI"/>
    </w:rPr>
  </w:style>
  <w:style w:type="paragraph" w:customStyle="1" w:styleId="Frontpagedetails">
    <w:name w:val="Front page details"/>
    <w:basedOn w:val="Frontpageheader1"/>
    <w:link w:val="FrontpagedetailsChar"/>
    <w:qFormat/>
    <w:rsid w:val="00CF25DF"/>
    <w:rPr>
      <w:color w:val="797979"/>
      <w:sz w:val="24"/>
      <w:szCs w:val="36"/>
    </w:rPr>
  </w:style>
  <w:style w:type="character" w:customStyle="1" w:styleId="Frontpageheader1Char">
    <w:name w:val="Front page header 1 Char"/>
    <w:basedOn w:val="Heading1Char"/>
    <w:link w:val="Frontpageheader1"/>
    <w:rsid w:val="00207A15"/>
    <w:rPr>
      <w:rFonts w:ascii="Segoe UI Semibold" w:eastAsiaTheme="majorEastAsia" w:hAnsi="Segoe UI Semibold"/>
      <w:bCs/>
      <w:color w:val="0069B4"/>
      <w:kern w:val="32"/>
      <w:sz w:val="56"/>
      <w:szCs w:val="56"/>
    </w:rPr>
  </w:style>
  <w:style w:type="paragraph" w:customStyle="1" w:styleId="Frontpagedate">
    <w:name w:val="Front page date"/>
    <w:basedOn w:val="Frontpagedetails"/>
    <w:link w:val="FrontpagedateChar"/>
    <w:qFormat/>
    <w:rsid w:val="00CF25DF"/>
    <w:rPr>
      <w:sz w:val="16"/>
    </w:rPr>
  </w:style>
  <w:style w:type="character" w:customStyle="1" w:styleId="FrontpagedetailsChar">
    <w:name w:val="Front page details Char"/>
    <w:basedOn w:val="Frontpageheader1Char"/>
    <w:link w:val="Frontpagedetails"/>
    <w:rsid w:val="00CF25DF"/>
    <w:rPr>
      <w:rFonts w:ascii="Segoe UI" w:eastAsiaTheme="majorEastAsia" w:hAnsi="Segoe UI"/>
      <w:bCs/>
      <w:color w:val="797979"/>
      <w:kern w:val="32"/>
      <w:sz w:val="24"/>
      <w:szCs w:val="36"/>
    </w:rPr>
  </w:style>
  <w:style w:type="table" w:customStyle="1" w:styleId="bwTable">
    <w:name w:val="bwTable"/>
    <w:basedOn w:val="TableNormal"/>
    <w:uiPriority w:val="99"/>
    <w:qFormat/>
    <w:rsid w:val="00DD7BEB"/>
    <w:pPr>
      <w:spacing w:after="0" w:line="240" w:lineRule="auto"/>
    </w:pPr>
    <w:rPr>
      <w:lang w:val="en-US" w:bidi="en-US"/>
    </w:rPr>
    <w:tblPr>
      <w:tblStyleRowBandSize w:val="1"/>
      <w:tblStyleColBandSize w:val="1"/>
      <w:tblBorders>
        <w:top w:val="single" w:sz="4" w:space="0" w:color="009FE3" w:themeColor="background2"/>
        <w:left w:val="single" w:sz="4" w:space="0" w:color="009FE3" w:themeColor="background2"/>
        <w:bottom w:val="single" w:sz="4" w:space="0" w:color="009FE3" w:themeColor="background2"/>
        <w:right w:val="single" w:sz="4" w:space="0" w:color="009FE3" w:themeColor="background2"/>
        <w:insideH w:val="single" w:sz="4" w:space="0" w:color="009FE3" w:themeColor="background2"/>
        <w:insideV w:val="single" w:sz="4" w:space="0" w:color="009FE3" w:themeColor="background2"/>
      </w:tblBorders>
      <w:tblCellMar>
        <w:top w:w="108" w:type="dxa"/>
        <w:bottom w:w="108" w:type="dxa"/>
      </w:tblCellMar>
    </w:tblPr>
    <w:tcPr>
      <w:vAlign w:val="center"/>
    </w:tcPr>
    <w:tblStylePr w:type="firstRow">
      <w:rPr>
        <w:b w:val="0"/>
        <w:color w:val="41C0F0" w:themeColor="accent1"/>
      </w:rPr>
      <w:tblPr/>
      <w:tcPr>
        <w:tcBorders>
          <w:top w:val="single" w:sz="4" w:space="0" w:color="41C0F0" w:themeColor="accent1"/>
          <w:left w:val="nil"/>
          <w:bottom w:val="single" w:sz="4" w:space="0" w:color="41C0F0" w:themeColor="accent1"/>
          <w:right w:val="nil"/>
          <w:insideH w:val="nil"/>
          <w:insideV w:val="nil"/>
          <w:tl2br w:val="nil"/>
          <w:tr2bl w:val="nil"/>
        </w:tcBorders>
      </w:tcPr>
    </w:tblStylePr>
    <w:tblStylePr w:type="lastRow">
      <w:tblPr/>
      <w:tcPr>
        <w:tcBorders>
          <w:top w:val="single" w:sz="4" w:space="0" w:color="BFBFBF" w:themeColor="background1" w:themeShade="BF"/>
          <w:left w:val="nil"/>
          <w:bottom w:val="nil"/>
          <w:right w:val="nil"/>
          <w:insideH w:val="nil"/>
          <w:insideV w:val="nil"/>
          <w:tl2br w:val="nil"/>
          <w:tr2bl w:val="nil"/>
        </w:tcBorders>
      </w:tcPr>
    </w:tblStylePr>
    <w:tblStylePr w:type="band1Horz">
      <w:tblPr/>
      <w:tcPr>
        <w:tcBorders>
          <w:top w:val="single" w:sz="4" w:space="0" w:color="BFBFBF" w:themeColor="background1" w:themeShade="BF"/>
          <w:left w:val="nil"/>
          <w:bottom w:val="nil"/>
          <w:right w:val="nil"/>
          <w:insideH w:val="nil"/>
          <w:insideV w:val="nil"/>
          <w:tl2br w:val="nil"/>
          <w:tr2bl w:val="nil"/>
        </w:tcBorders>
      </w:tcPr>
    </w:tblStylePr>
    <w:tblStylePr w:type="band2Horz">
      <w:tblPr/>
      <w:tcPr>
        <w:tcBorders>
          <w:top w:val="single" w:sz="4" w:space="0" w:color="BFBFBF" w:themeColor="background1" w:themeShade="BF"/>
          <w:left w:val="nil"/>
          <w:bottom w:val="nil"/>
          <w:right w:val="nil"/>
          <w:insideH w:val="nil"/>
          <w:insideV w:val="nil"/>
          <w:tl2br w:val="nil"/>
          <w:tr2bl w:val="nil"/>
        </w:tcBorders>
      </w:tcPr>
    </w:tblStylePr>
  </w:style>
  <w:style w:type="character" w:customStyle="1" w:styleId="FrontpagedateChar">
    <w:name w:val="Front page date Char"/>
    <w:basedOn w:val="FrontpagedetailsChar"/>
    <w:link w:val="Frontpagedate"/>
    <w:rsid w:val="00CF25DF"/>
    <w:rPr>
      <w:rFonts w:ascii="Segoe UI" w:eastAsiaTheme="majorEastAsia" w:hAnsi="Segoe UI"/>
      <w:bCs/>
      <w:color w:val="797979"/>
      <w:kern w:val="32"/>
      <w:sz w:val="16"/>
      <w:szCs w:val="36"/>
    </w:rPr>
  </w:style>
  <w:style w:type="paragraph" w:styleId="Header">
    <w:name w:val="header"/>
    <w:basedOn w:val="Normal"/>
    <w:link w:val="HeaderChar"/>
    <w:uiPriority w:val="99"/>
    <w:unhideWhenUsed/>
    <w:rsid w:val="00615554"/>
    <w:pPr>
      <w:tabs>
        <w:tab w:val="center" w:pos="4513"/>
        <w:tab w:val="right" w:pos="9026"/>
      </w:tabs>
    </w:pPr>
    <w:rPr>
      <w:szCs w:val="20"/>
      <w:lang w:val="en-GB" w:bidi="ar-SA"/>
    </w:rPr>
  </w:style>
  <w:style w:type="character" w:customStyle="1" w:styleId="HeaderChar">
    <w:name w:val="Header Char"/>
    <w:basedOn w:val="DefaultParagraphFont"/>
    <w:link w:val="Header"/>
    <w:uiPriority w:val="99"/>
    <w:rsid w:val="00615554"/>
    <w:rPr>
      <w:rFonts w:ascii="Segoe UI" w:hAnsi="Segoe UI"/>
    </w:rPr>
  </w:style>
  <w:style w:type="paragraph" w:styleId="Footer">
    <w:name w:val="footer"/>
    <w:basedOn w:val="Normal"/>
    <w:link w:val="FooterChar"/>
    <w:uiPriority w:val="99"/>
    <w:unhideWhenUsed/>
    <w:rsid w:val="00615554"/>
    <w:pPr>
      <w:tabs>
        <w:tab w:val="center" w:pos="4513"/>
        <w:tab w:val="right" w:pos="9026"/>
      </w:tabs>
    </w:pPr>
    <w:rPr>
      <w:szCs w:val="20"/>
      <w:lang w:val="en-GB" w:bidi="ar-SA"/>
    </w:rPr>
  </w:style>
  <w:style w:type="character" w:customStyle="1" w:styleId="FooterChar">
    <w:name w:val="Footer Char"/>
    <w:basedOn w:val="DefaultParagraphFont"/>
    <w:link w:val="Footer"/>
    <w:uiPriority w:val="99"/>
    <w:rsid w:val="00615554"/>
    <w:rPr>
      <w:rFonts w:ascii="Segoe UI" w:hAnsi="Segoe UI"/>
    </w:rPr>
  </w:style>
  <w:style w:type="character" w:styleId="PlaceholderText">
    <w:name w:val="Placeholder Text"/>
    <w:basedOn w:val="DefaultParagraphFont"/>
    <w:uiPriority w:val="99"/>
    <w:semiHidden/>
    <w:rsid w:val="00615554"/>
    <w:rPr>
      <w:color w:val="808080"/>
    </w:rPr>
  </w:style>
  <w:style w:type="table" w:styleId="TableGrid">
    <w:name w:val="Table Grid"/>
    <w:basedOn w:val="TableNormal"/>
    <w:uiPriority w:val="59"/>
    <w:rsid w:val="00207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0A2"/>
    <w:rPr>
      <w:sz w:val="16"/>
      <w:szCs w:val="16"/>
    </w:rPr>
  </w:style>
  <w:style w:type="paragraph" w:styleId="CommentText">
    <w:name w:val="annotation text"/>
    <w:basedOn w:val="Normal"/>
    <w:link w:val="CommentTextChar"/>
    <w:uiPriority w:val="99"/>
    <w:unhideWhenUsed/>
    <w:rsid w:val="006520A2"/>
    <w:rPr>
      <w:szCs w:val="20"/>
    </w:rPr>
  </w:style>
  <w:style w:type="character" w:customStyle="1" w:styleId="CommentTextChar">
    <w:name w:val="Comment Text Char"/>
    <w:basedOn w:val="DefaultParagraphFont"/>
    <w:link w:val="CommentText"/>
    <w:uiPriority w:val="99"/>
    <w:rsid w:val="006520A2"/>
    <w:rPr>
      <w:rFonts w:ascii="Segoe UI" w:hAnsi="Segoe UI"/>
      <w:lang w:val="en-US" w:bidi="en-US"/>
    </w:rPr>
  </w:style>
  <w:style w:type="paragraph" w:styleId="CommentSubject">
    <w:name w:val="annotation subject"/>
    <w:basedOn w:val="CommentText"/>
    <w:next w:val="CommentText"/>
    <w:link w:val="CommentSubjectChar"/>
    <w:uiPriority w:val="99"/>
    <w:semiHidden/>
    <w:unhideWhenUsed/>
    <w:rsid w:val="006520A2"/>
    <w:rPr>
      <w:b/>
      <w:bCs/>
    </w:rPr>
  </w:style>
  <w:style w:type="character" w:customStyle="1" w:styleId="CommentSubjectChar">
    <w:name w:val="Comment Subject Char"/>
    <w:basedOn w:val="CommentTextChar"/>
    <w:link w:val="CommentSubject"/>
    <w:uiPriority w:val="99"/>
    <w:semiHidden/>
    <w:rsid w:val="006520A2"/>
    <w:rPr>
      <w:rFonts w:ascii="Segoe UI" w:hAnsi="Segoe UI"/>
      <w:b/>
      <w:bCs/>
      <w:lang w:val="en-US" w:bidi="en-US"/>
    </w:rPr>
  </w:style>
  <w:style w:type="paragraph" w:styleId="BalloonText">
    <w:name w:val="Balloon Text"/>
    <w:basedOn w:val="Normal"/>
    <w:link w:val="BalloonTextChar"/>
    <w:uiPriority w:val="99"/>
    <w:semiHidden/>
    <w:unhideWhenUsed/>
    <w:rsid w:val="006520A2"/>
    <w:rPr>
      <w:rFonts w:cs="Segoe UI"/>
      <w:sz w:val="18"/>
      <w:szCs w:val="18"/>
    </w:rPr>
  </w:style>
  <w:style w:type="character" w:customStyle="1" w:styleId="BalloonTextChar">
    <w:name w:val="Balloon Text Char"/>
    <w:basedOn w:val="DefaultParagraphFont"/>
    <w:link w:val="BalloonText"/>
    <w:uiPriority w:val="99"/>
    <w:semiHidden/>
    <w:rsid w:val="006520A2"/>
    <w:rPr>
      <w:rFonts w:ascii="Segoe UI" w:hAnsi="Segoe UI" w:cs="Segoe UI"/>
      <w:sz w:val="18"/>
      <w:szCs w:val="18"/>
      <w:lang w:val="en-US" w:bidi="en-US"/>
    </w:rPr>
  </w:style>
  <w:style w:type="paragraph" w:styleId="FootnoteText">
    <w:name w:val="footnote text"/>
    <w:basedOn w:val="Normal"/>
    <w:link w:val="FootnoteTextChar"/>
    <w:uiPriority w:val="99"/>
    <w:semiHidden/>
    <w:unhideWhenUsed/>
    <w:rsid w:val="00011645"/>
    <w:rPr>
      <w:szCs w:val="20"/>
    </w:rPr>
  </w:style>
  <w:style w:type="character" w:customStyle="1" w:styleId="FootnoteTextChar">
    <w:name w:val="Footnote Text Char"/>
    <w:basedOn w:val="DefaultParagraphFont"/>
    <w:link w:val="FootnoteText"/>
    <w:uiPriority w:val="99"/>
    <w:semiHidden/>
    <w:rsid w:val="00011645"/>
    <w:rPr>
      <w:rFonts w:ascii="Segoe UI" w:hAnsi="Segoe UI"/>
      <w:lang w:val="en-US" w:bidi="en-US"/>
    </w:rPr>
  </w:style>
  <w:style w:type="character" w:styleId="FootnoteReference">
    <w:name w:val="footnote reference"/>
    <w:basedOn w:val="DefaultParagraphFont"/>
    <w:uiPriority w:val="99"/>
    <w:unhideWhenUsed/>
    <w:rsid w:val="00011645"/>
    <w:rPr>
      <w:vertAlign w:val="superscript"/>
    </w:rPr>
  </w:style>
  <w:style w:type="paragraph" w:styleId="NormalWeb">
    <w:name w:val="Normal (Web)"/>
    <w:basedOn w:val="Normal"/>
    <w:uiPriority w:val="99"/>
    <w:unhideWhenUsed/>
    <w:rsid w:val="005161B9"/>
    <w:pPr>
      <w:spacing w:before="100" w:beforeAutospacing="1" w:after="100" w:afterAutospacing="1"/>
    </w:pPr>
    <w:rPr>
      <w:rFonts w:ascii="Times New Roman" w:hAnsi="Times New Roman"/>
      <w:sz w:val="24"/>
      <w:lang w:val="en-GB" w:eastAsia="en-GB" w:bidi="ar-SA"/>
    </w:rPr>
  </w:style>
  <w:style w:type="paragraph" w:styleId="ListParagraph">
    <w:name w:val="List Paragraph"/>
    <w:basedOn w:val="Normal"/>
    <w:uiPriority w:val="34"/>
    <w:qFormat/>
    <w:rsid w:val="00084E1C"/>
    <w:pPr>
      <w:ind w:left="720"/>
    </w:pPr>
    <w:rPr>
      <w:rFonts w:cs="Segoe UI"/>
      <w:szCs w:val="20"/>
      <w:lang w:val="en-GB" w:bidi="ar-SA"/>
    </w:rPr>
  </w:style>
  <w:style w:type="paragraph" w:styleId="Revision">
    <w:name w:val="Revision"/>
    <w:hidden/>
    <w:uiPriority w:val="99"/>
    <w:semiHidden/>
    <w:rsid w:val="00240333"/>
    <w:pPr>
      <w:spacing w:after="0" w:line="240" w:lineRule="auto"/>
    </w:pPr>
    <w:rPr>
      <w:rFonts w:ascii="Segoe UI" w:hAnsi="Segoe UI"/>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0361">
      <w:bodyDiv w:val="1"/>
      <w:marLeft w:val="0"/>
      <w:marRight w:val="0"/>
      <w:marTop w:val="0"/>
      <w:marBottom w:val="0"/>
      <w:divBdr>
        <w:top w:val="none" w:sz="0" w:space="0" w:color="auto"/>
        <w:left w:val="none" w:sz="0" w:space="0" w:color="auto"/>
        <w:bottom w:val="none" w:sz="0" w:space="0" w:color="auto"/>
        <w:right w:val="none" w:sz="0" w:space="0" w:color="auto"/>
      </w:divBdr>
    </w:div>
    <w:div w:id="349260177">
      <w:bodyDiv w:val="1"/>
      <w:marLeft w:val="0"/>
      <w:marRight w:val="0"/>
      <w:marTop w:val="0"/>
      <w:marBottom w:val="0"/>
      <w:divBdr>
        <w:top w:val="none" w:sz="0" w:space="0" w:color="auto"/>
        <w:left w:val="none" w:sz="0" w:space="0" w:color="auto"/>
        <w:bottom w:val="none" w:sz="0" w:space="0" w:color="auto"/>
        <w:right w:val="none" w:sz="0" w:space="0" w:color="auto"/>
      </w:divBdr>
    </w:div>
    <w:div w:id="591596106">
      <w:bodyDiv w:val="1"/>
      <w:marLeft w:val="0"/>
      <w:marRight w:val="0"/>
      <w:marTop w:val="0"/>
      <w:marBottom w:val="0"/>
      <w:divBdr>
        <w:top w:val="none" w:sz="0" w:space="0" w:color="auto"/>
        <w:left w:val="none" w:sz="0" w:space="0" w:color="auto"/>
        <w:bottom w:val="none" w:sz="0" w:space="0" w:color="auto"/>
        <w:right w:val="none" w:sz="0" w:space="0" w:color="auto"/>
      </w:divBdr>
    </w:div>
    <w:div w:id="1529445386">
      <w:bodyDiv w:val="1"/>
      <w:marLeft w:val="0"/>
      <w:marRight w:val="0"/>
      <w:marTop w:val="0"/>
      <w:marBottom w:val="0"/>
      <w:divBdr>
        <w:top w:val="none" w:sz="0" w:space="0" w:color="auto"/>
        <w:left w:val="none" w:sz="0" w:space="0" w:color="auto"/>
        <w:bottom w:val="none" w:sz="0" w:space="0" w:color="auto"/>
        <w:right w:val="none" w:sz="0" w:space="0" w:color="auto"/>
      </w:divBdr>
    </w:div>
    <w:div w:id="1998534644">
      <w:bodyDiv w:val="1"/>
      <w:marLeft w:val="0"/>
      <w:marRight w:val="0"/>
      <w:marTop w:val="0"/>
      <w:marBottom w:val="0"/>
      <w:divBdr>
        <w:top w:val="none" w:sz="0" w:space="0" w:color="auto"/>
        <w:left w:val="none" w:sz="0" w:space="0" w:color="auto"/>
        <w:bottom w:val="none" w:sz="0" w:space="0" w:color="auto"/>
        <w:right w:val="none" w:sz="0" w:space="0" w:color="auto"/>
      </w:divBdr>
      <w:divsChild>
        <w:div w:id="1556964753">
          <w:marLeft w:val="878"/>
          <w:marRight w:val="0"/>
          <w:marTop w:val="43"/>
          <w:marBottom w:val="0"/>
          <w:divBdr>
            <w:top w:val="none" w:sz="0" w:space="0" w:color="auto"/>
            <w:left w:val="none" w:sz="0" w:space="0" w:color="auto"/>
            <w:bottom w:val="none" w:sz="0" w:space="0" w:color="auto"/>
            <w:right w:val="none" w:sz="0" w:space="0" w:color="auto"/>
          </w:divBdr>
        </w:div>
        <w:div w:id="464855709">
          <w:marLeft w:val="878"/>
          <w:marRight w:val="0"/>
          <w:marTop w:val="43"/>
          <w:marBottom w:val="0"/>
          <w:divBdr>
            <w:top w:val="none" w:sz="0" w:space="0" w:color="auto"/>
            <w:left w:val="none" w:sz="0" w:space="0" w:color="auto"/>
            <w:bottom w:val="none" w:sz="0" w:space="0" w:color="auto"/>
            <w:right w:val="none" w:sz="0" w:space="0" w:color="auto"/>
          </w:divBdr>
        </w:div>
        <w:div w:id="759915395">
          <w:marLeft w:val="878"/>
          <w:marRight w:val="0"/>
          <w:marTop w:val="43"/>
          <w:marBottom w:val="0"/>
          <w:divBdr>
            <w:top w:val="none" w:sz="0" w:space="0" w:color="auto"/>
            <w:left w:val="none" w:sz="0" w:space="0" w:color="auto"/>
            <w:bottom w:val="none" w:sz="0" w:space="0" w:color="auto"/>
            <w:right w:val="none" w:sz="0" w:space="0" w:color="auto"/>
          </w:divBdr>
        </w:div>
        <w:div w:id="3671749">
          <w:marLeft w:val="878"/>
          <w:marRight w:val="0"/>
          <w:marTop w:val="43"/>
          <w:marBottom w:val="0"/>
          <w:divBdr>
            <w:top w:val="none" w:sz="0" w:space="0" w:color="auto"/>
            <w:left w:val="none" w:sz="0" w:space="0" w:color="auto"/>
            <w:bottom w:val="none" w:sz="0" w:space="0" w:color="auto"/>
            <w:right w:val="none" w:sz="0" w:space="0" w:color="auto"/>
          </w:divBdr>
        </w:div>
        <w:div w:id="812606005">
          <w:marLeft w:val="878"/>
          <w:marRight w:val="0"/>
          <w:marTop w:val="43"/>
          <w:marBottom w:val="0"/>
          <w:divBdr>
            <w:top w:val="none" w:sz="0" w:space="0" w:color="auto"/>
            <w:left w:val="none" w:sz="0" w:space="0" w:color="auto"/>
            <w:bottom w:val="none" w:sz="0" w:space="0" w:color="auto"/>
            <w:right w:val="none" w:sz="0" w:space="0" w:color="auto"/>
          </w:divBdr>
        </w:div>
        <w:div w:id="1714965581">
          <w:marLeft w:val="878"/>
          <w:marRight w:val="0"/>
          <w:marTop w:val="43"/>
          <w:marBottom w:val="0"/>
          <w:divBdr>
            <w:top w:val="none" w:sz="0" w:space="0" w:color="auto"/>
            <w:left w:val="none" w:sz="0" w:space="0" w:color="auto"/>
            <w:bottom w:val="none" w:sz="0" w:space="0" w:color="auto"/>
            <w:right w:val="none" w:sz="0" w:space="0" w:color="auto"/>
          </w:divBdr>
        </w:div>
        <w:div w:id="1749887752">
          <w:marLeft w:val="878"/>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w-wan\files\templates\Office%20Templates\bwSmallReport.dotx" TargetMode="External"/></Relationships>
</file>

<file path=word/theme/theme1.xml><?xml version="1.0" encoding="utf-8"?>
<a:theme xmlns:a="http://schemas.openxmlformats.org/drawingml/2006/main" name="Barnett Waddingham">
  <a:themeElements>
    <a:clrScheme name="Barnett Waddingham">
      <a:dk1>
        <a:sysClr val="windowText" lastClr="000000"/>
      </a:dk1>
      <a:lt1>
        <a:sysClr val="window" lastClr="FFFFFF"/>
      </a:lt1>
      <a:dk2>
        <a:srgbClr val="0069B4"/>
      </a:dk2>
      <a:lt2>
        <a:srgbClr val="009FE3"/>
      </a:lt2>
      <a:accent1>
        <a:srgbClr val="41C0F0"/>
      </a:accent1>
      <a:accent2>
        <a:srgbClr val="A1DAF8"/>
      </a:accent2>
      <a:accent3>
        <a:srgbClr val="797979"/>
      </a:accent3>
      <a:accent4>
        <a:srgbClr val="C0C0C0"/>
      </a:accent4>
      <a:accent5>
        <a:srgbClr val="68C0B5"/>
      </a:accent5>
      <a:accent6>
        <a:srgbClr val="F5DE7A"/>
      </a:accent6>
      <a:hlink>
        <a:srgbClr val="1192D1"/>
      </a:hlink>
      <a:folHlink>
        <a:srgbClr val="4B08A1"/>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796CE8-939B-4115-A030-867E1E7A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bwSmallReport</Template>
  <TotalTime>3</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Implementation Statement</vt:lpstr>
    </vt:vector>
  </TitlesOfParts>
  <Company>Barnett Waddingham</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Statement</dc:title>
  <dc:subject/>
  <dc:creator>Eva Grace</dc:creator>
  <cp:keywords/>
  <dc:description/>
  <cp:lastModifiedBy>Ollie Dykes</cp:lastModifiedBy>
  <cp:revision>3</cp:revision>
  <cp:lastPrinted>2022-05-19T13:48:00Z</cp:lastPrinted>
  <dcterms:created xsi:type="dcterms:W3CDTF">2023-10-11T11:14:00Z</dcterms:created>
  <dcterms:modified xsi:type="dcterms:W3CDTF">2023-10-11T11:14:00Z</dcterms:modified>
</cp:coreProperties>
</file>